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5817-25</w:t>
      </w:r>
      <w:r>
        <w:rPr>
          <w:lang w:val="es-AR" w:eastAsia="es-AR" w:bidi="es-AR"/>
        </w:rPr>
        <w:t xml:space="preserve"> caratulada </w:t>
      </w:r>
      <w:r>
        <w:rPr>
          <w:b/>
          <w:lang w:val="es-AR" w:eastAsia="es-AR" w:bidi="es-AR"/>
        </w:rPr>
        <w:t xml:space="preserve">"</w:t>
      </w:r>
      <w:r>
        <w:rPr>
          <w:b/>
          <w:color w:val="000000"/>
          <w:lang w:val="es-AR" w:eastAsia="es-AR" w:bidi="es-AR"/>
        </w:rPr>
        <w:t xml:space="preserve">GOMEZ NATALIA LORENA C/ LEIVA ADRIAN GASTON Y OTROS S/ DAÑOS Y PERJ.AUTOM. C/LES. O MUERTE (EXC.ESTADO)</w:t>
      </w:r>
      <w:r>
        <w:rPr>
          <w:b/>
          <w:lang w:val="es-AR" w:eastAsia="es-AR" w:bidi="es-AR"/>
        </w:rPr>
        <w:t xml:space="preserve">"</w:t>
      </w:r>
      <w:r>
        <w:rPr>
          <w:lang w:val="es-AR" w:eastAsia="es-AR" w:bidi="es-AR"/>
        </w:rPr>
        <w:t xml:space="preserve">, Expte. </w:t>
      </w:r>
      <w:r>
        <w:rPr>
          <w:color w:val="000000"/>
          <w:lang w:val="es-AR" w:eastAsia="es-AR" w:bidi="es-AR"/>
        </w:rPr>
        <w:t xml:space="preserve">79.060</w:t>
      </w:r>
      <w:r>
        <w:rPr>
          <w:color w:val="000000"/>
          <w:lang w:val="es-AR" w:eastAsia="es-AR" w:bidi="es-AR"/>
        </w:rPr>
        <w:t xml:space="preserve"> </w:t>
      </w:r>
      <w:r>
        <w:rPr>
          <w:lang w:val="es-AR" w:eastAsia="es-AR" w:bidi="es-AR"/>
        </w:rPr>
        <w:t xml:space="preserve">del Juzgado en lo Civil y Comercial N° 1,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 en cuanto fuera motivo de agravio?</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El Sr. Juez de la instancia anterior aprobó la liquidación conjunta practicada el 23/12/25 en la suma de $15.000.000.- </w:t>
      </w:r>
    </w:p>
    <w:p>
      <w:pPr>
        <w:pStyle w:val="[Normal]"/>
        <w:spacing w:line="360" w:lineRule="auto"/>
        <w:ind w:firstLine="1134"/>
        <w:jc w:val="both"/>
        <w:rPr>
          <w:lang w:val="es-AR" w:eastAsia="es-AR" w:bidi="es-AR"/>
        </w:rPr>
      </w:pPr>
      <w:r>
        <w:rPr>
          <w:lang w:val="es-AR" w:eastAsia="es-AR" w:bidi="es-AR"/>
        </w:rPr>
        <w:t xml:space="preserve">Y tomando como base la misma, reguló los honorarios profesionales de los letrados intervinientes Dres. Eugenia Gambino (32,37 jus), Erica Wingeyer (32,37 jus) y Carlos Caluch (32,37 jus, mínimo requerido), por las tareas de autos, e hizo lo propio en relación a los Peritos Oficiales Javier Ferreti ($150.000), Maria Laura Melo ($150.000), Marcela Polizzi ($190.000) y Paula Cerruti ($190.000). Además determinó los honorarios de la mediadora designada en autos, Dra. María Laura Belluomini, por su labor desarrollada en la etapa previa en la suma equivalente a 31,31 jus de unidad arancelaria.</w:t>
      </w:r>
    </w:p>
    <w:p>
      <w:pPr>
        <w:pStyle w:val="[Normal]"/>
        <w:spacing w:line="360" w:lineRule="auto"/>
        <w:ind w:firstLine="1134"/>
        <w:jc w:val="both"/>
        <w:rPr>
          <w:lang w:val="es-AR" w:eastAsia="es-AR" w:bidi="es-AR"/>
        </w:rPr>
      </w:pPr>
      <w:r>
        <w:rPr>
          <w:lang w:val="es-AR" w:eastAsia="es-AR" w:bidi="es-AR"/>
        </w:rPr>
        <w:t xml:space="preserve">Lo decidido fue apelado por la citada en garantía el 7/4/26, quien fundó tal recurso en la misma presentación, el que fuera contestado por la mediadora en fecha 13/4/26.</w:t>
      </w:r>
    </w:p>
    <w:p>
      <w:pPr>
        <w:pStyle w:val="[Normal]"/>
        <w:spacing w:line="360" w:lineRule="auto"/>
        <w:ind w:firstLine="1134"/>
        <w:jc w:val="both"/>
        <w:rPr>
          <w:lang w:val="es-AR" w:eastAsia="es-AR" w:bidi="es-AR"/>
        </w:rPr>
      </w:pPr>
      <w:r>
        <w:rPr>
          <w:lang w:val="es-AR" w:eastAsia="es-AR" w:bidi="es-AR"/>
        </w:rPr>
        <w:t xml:space="preserve">Arribada la causa a éste Tribunal el 23/6/26 se llama a autos para resolver, providencia que firme a la fecha deja el expediente en condiciones de ser resuelto.</w:t>
      </w:r>
    </w:p>
    <w:p>
      <w:pPr>
        <w:pStyle w:val="[Normal]"/>
        <w:spacing w:line="360" w:lineRule="auto"/>
        <w:ind w:firstLine="1134"/>
        <w:jc w:val="both"/>
        <w:rPr>
          <w:lang w:val="es-AR" w:eastAsia="es-AR" w:bidi="es-AR"/>
        </w:rPr>
      </w:pPr>
      <w:r>
        <w:rPr>
          <w:lang w:val="es-AR" w:eastAsia="es-AR" w:bidi="es-AR"/>
        </w:rPr>
        <w:t xml:space="preserve">Se duele la quejosa en relación a los honorarios profesionales fijados en favor de la Mediadora interviniente, Dra. María Laura Belluomini, por considerar los mismos excesivos.</w:t>
      </w:r>
    </w:p>
    <w:p>
      <w:pPr>
        <w:pStyle w:val="[Normal]"/>
        <w:spacing w:line="360" w:lineRule="auto"/>
        <w:ind w:firstLine="1134"/>
        <w:jc w:val="both"/>
        <w:rPr>
          <w:lang w:val="es-AR" w:eastAsia="es-AR" w:bidi="es-AR"/>
        </w:rPr>
      </w:pPr>
      <w:r>
        <w:rPr>
          <w:lang w:val="es-AR" w:eastAsia="es-AR" w:bidi="es-AR"/>
        </w:rPr>
        <w:t xml:space="preserve">Expresa que la suma equivalente a 31,31 jus de unidad arancelaria -$1.450.435,75- resulta desproporcionada en relación a la base regulatoria de autos, representando en términos porcentuales el 9,65% de la misma. Máxime si se  tiene en cuenta la tarea desplegada por la nombrada que consistió en el envío de una carta documento y la confección de un acta de audiencia y que allí quedó cerrada la instancia por voluntad del requirente.</w:t>
      </w:r>
    </w:p>
    <w:p>
      <w:pPr>
        <w:pStyle w:val="[Normal]"/>
        <w:spacing w:line="360" w:lineRule="auto"/>
        <w:ind w:firstLine="1134"/>
        <w:jc w:val="both"/>
        <w:rPr>
          <w:lang w:val="es-AR" w:eastAsia="es-AR" w:bidi="es-AR"/>
        </w:rPr>
      </w:pPr>
      <w:r>
        <w:rPr>
          <w:lang w:val="es-AR" w:eastAsia="es-AR" w:bidi="es-AR"/>
        </w:rPr>
        <w:t xml:space="preserve">Añadiendo que la letrada mediadora ha fracasado en su función, esto es procurar un acercamiento entre las partes, y frente a ello se le ha regulado un monto muy elevado si se lo compara proporcionalmente a los de los Letrados intervinientes, quienes tuvieron mayores responsabilidades y llegaron a la composición del litigio.</w:t>
      </w:r>
    </w:p>
    <w:p>
      <w:pPr>
        <w:pStyle w:val="[Normal]"/>
        <w:spacing w:line="360" w:lineRule="auto"/>
        <w:ind w:firstLine="1134"/>
        <w:jc w:val="both"/>
        <w:rPr>
          <w:lang w:val="es-AR" w:eastAsia="es-AR" w:bidi="es-AR"/>
        </w:rPr>
      </w:pPr>
      <w:r>
        <w:rPr>
          <w:lang w:val="es-AR" w:eastAsia="es-AR" w:bidi="es-AR"/>
        </w:rPr>
        <w:t xml:space="preserve">Asimismo, solicita la declaración de inconstitucionalidad del art. 31 de la Ley 13.951 y del art. 27 del decreto reglamentario 2530/10, en tanto reitera que la suma regulada  en concepto de honorarios de la Mediadora, alcanza un porcentaje desproporcionado en comparación a la de los Letrados que intervienen en la causa y las labores por éstos desarrolladas.</w:t>
      </w:r>
    </w:p>
    <w:p>
      <w:pPr>
        <w:pStyle w:val="[Normal]"/>
        <w:spacing w:line="360" w:lineRule="auto"/>
        <w:ind w:firstLine="1134"/>
        <w:jc w:val="both"/>
        <w:rPr>
          <w:lang w:val="es-AR" w:eastAsia="es-AR" w:bidi="es-AR"/>
        </w:rPr>
      </w:pPr>
      <w:r>
        <w:rPr>
          <w:lang w:val="es-AR" w:eastAsia="es-AR" w:bidi="es-AR"/>
        </w:rPr>
        <w:t xml:space="preserve">Seguidamente, dice que son abundantes los fallos dictados respecto de una legislación con similares pautas retributivas, y que de sostener la vigencia de la ley atacada importa lesionar derechos constitucionales, por lo que concluye peticionando la declaración de inconstitucionalidad.</w:t>
      </w:r>
    </w:p>
    <w:p>
      <w:pPr>
        <w:pStyle w:val="[Normal]"/>
        <w:spacing w:line="360" w:lineRule="auto"/>
        <w:ind w:firstLine="1134"/>
        <w:jc w:val="both"/>
        <w:rPr>
          <w:lang w:val="es-AR" w:eastAsia="es-AR" w:bidi="es-AR"/>
        </w:rPr>
      </w:pPr>
      <w:r>
        <w:rPr>
          <w:lang w:val="es-AR" w:eastAsia="es-AR" w:bidi="es-AR"/>
        </w:rPr>
        <w:t xml:space="preserve">Liminarmente, ha de recordarse que éste Tribunal en reiteradas oportunidades en análogos cuestionamientos, ha reconocido la potestad del juzgador para adecuar los honorarios de los Mediadores sin llegar a la declaración de inconstitucionalidad de la normativa referida (CAP, C. N° 2464, 3889, 2631, 4818 entre otras), la que sabido es que por su extrema gravedad  debe ser considerada como última ratio del orden jurídico. En este sentido, hemos concluido que no existe interés procesal en la declaración de inconstitucionalidad de la normativa específica aplicada por el juzgado para regular los honorarios de la mediadora, porque la misma no impide a su vez la eventual aplicación del art. 1255 2do. párrafo del CCyC que posibilita morigerar los aranceles si la aplicación estricta de la ley conduce a una evidente e injustificada desproporción entre la retribución resultante y la importancia de la labor cumplida (en este sentido CAP N° 5306 RSD 90/2024).</w:t>
      </w:r>
    </w:p>
    <w:p>
      <w:pPr>
        <w:pStyle w:val="[Normal]"/>
        <w:spacing w:line="360" w:lineRule="auto"/>
        <w:ind w:firstLine="1134"/>
        <w:jc w:val="both"/>
        <w:rPr>
          <w:lang w:val="es-AR" w:eastAsia="es-AR" w:bidi="es-AR"/>
        </w:rPr>
      </w:pPr>
      <w:r>
        <w:rPr>
          <w:lang w:val="es-AR" w:eastAsia="es-AR" w:bidi="es-AR"/>
        </w:rPr>
        <w:t xml:space="preserve">No obstante ello, cabe advertir que yerra la apelante al plantear la inconstitucionalidad del art. 27 del decreto reglamentario 2530/10 por cuanto no surge la aplicación efectiva de la norma en cuestión (v. resolución del 13/12/24). </w:t>
      </w:r>
    </w:p>
    <w:p>
      <w:pPr>
        <w:pStyle w:val="[Normal]"/>
        <w:spacing w:line="360" w:lineRule="auto"/>
        <w:ind w:firstLine="1134"/>
        <w:jc w:val="both"/>
        <w:rPr>
          <w:lang w:val="es-AR" w:eastAsia="es-AR" w:bidi="es-AR"/>
        </w:rPr>
      </w:pPr>
      <w:r>
        <w:rPr>
          <w:lang w:val="es-AR" w:eastAsia="es-AR" w:bidi="es-AR"/>
        </w:rPr>
        <w:t xml:space="preserve">Para que un planteo de inconstitucionalidad sea procedente, debe haber un agravio real y actual al litigante derivado de la aplicación de la norma. Por lo tanto si la norma no se aplicó, no hay un conflicto directo con la misma, por lo que el litigante no ha sufrido un agravio concreto que justifique su revisión.</w:t>
      </w:r>
    </w:p>
    <w:p>
      <w:pPr>
        <w:pStyle w:val="[Normal]"/>
        <w:spacing w:line="360" w:lineRule="auto"/>
        <w:ind w:firstLine="1134"/>
        <w:jc w:val="both"/>
        <w:rPr>
          <w:lang w:val="es-AR" w:eastAsia="es-AR" w:bidi="es-AR"/>
        </w:rPr>
      </w:pPr>
      <w:r>
        <w:rPr>
          <w:lang w:val="es-AR" w:eastAsia="es-AR" w:bidi="es-AR"/>
        </w:rPr>
        <w:t xml:space="preserve">Sentado ello, corresponde adentrarse en el tratamiento del recurso en tanto el agravio lo constituye el monto regulado a la Dra. María Laura Belluomini por su trabajo como Mediadora que en la instancia de origen se los determinó en la suma equivalente a 31,31 jus de unidad arancelaria y que la apelante entiende desproporcionados.</w:t>
      </w:r>
    </w:p>
    <w:p>
      <w:pPr>
        <w:pStyle w:val="[Normal]"/>
        <w:spacing w:line="360" w:lineRule="auto"/>
        <w:ind w:firstLine="1134"/>
        <w:jc w:val="both"/>
        <w:rPr>
          <w:lang w:val="es-AR" w:eastAsia="es-AR" w:bidi="es-AR"/>
        </w:rPr>
      </w:pPr>
      <w:r>
        <w:rPr>
          <w:lang w:val="es-AR" w:eastAsia="es-AR" w:bidi="es-AR"/>
        </w:rPr>
        <w:t xml:space="preserve">Para ello considero oportuno señalar que no comparto los argumentos expuestos por el letrado de la citada en garantía que reducen la labor del mediador al envío de carta documento y a un acta de cierre de audiencia, y que ello sea factor determinante para solicitar la reducción de los honorarios profesionales.</w:t>
      </w:r>
    </w:p>
    <w:p>
      <w:pPr>
        <w:pStyle w:val="[Normal]"/>
        <w:spacing w:line="360" w:lineRule="auto"/>
        <w:ind w:firstLine="1134"/>
        <w:jc w:val="both"/>
        <w:rPr>
          <w:lang w:val="es-AR" w:eastAsia="es-AR" w:bidi="es-AR"/>
        </w:rPr>
      </w:pPr>
      <w:r>
        <w:rPr>
          <w:lang w:val="es-AR" w:eastAsia="es-AR" w:bidi="es-AR"/>
        </w:rPr>
        <w:t xml:space="preserve">Resulta pertinente recordar la finalidad que el legislador provincial tuvo al sancionar la Ley de Mediación, esto es, otorgarle a la ciudadanía una herramienta alternativa prejudicial de resolución de conflictos para que éstos se resuelvan a la mayor brevedad posible y cuyos beneficios van más allá del interés de las partes, dado que se extiende a las bondades que de ello se derivan, como ser una menor judicialización de las causas, que redunda en un mejor servicio de justicia; toda vez que el justiciable compone el litigio en un tiempo concomitante con el hecho lo que derrama en un beneficio tanto para el particular como para la comunidad (conf. CAP C. N° 4822 RSD 47/2023 del 18-4-2023; N° 4334 RS-143-2022 del 24-11-2022, entre. otr). </w:t>
      </w:r>
    </w:p>
    <w:p>
      <w:pPr>
        <w:pStyle w:val="[Normal]"/>
        <w:spacing w:line="360" w:lineRule="auto"/>
        <w:ind w:firstLine="1134"/>
        <w:jc w:val="both"/>
        <w:rPr>
          <w:lang w:val="es-AR" w:eastAsia="es-AR" w:bidi="es-AR"/>
        </w:rPr>
      </w:pPr>
      <w:r>
        <w:rPr>
          <w:lang w:val="es-AR" w:eastAsia="es-AR" w:bidi="es-AR"/>
        </w:rPr>
        <w:t xml:space="preserve">A mayor abundamiento, cabe agregar que la operatividad del principio de confidencialidad en materia de mediación prejudicial (art. 1 y 16 de la ley 13.951) limita la posibilidad de valorar integralmente la entidad, calidad y cantidad de la prestación profesional brindada por la mediadora, toda vez que es la propia ley la que veda la reproducción de los hechos acaecidos durante la realización de dicha etapa. Con lo cual la cantidad de audiencias realizadas, las características del acta de audiencia y cualquier otra constancia que acredite una gestión llevada a cabo por el mediador (vgr., envío de cartas documentos), si bien puede tener un valor indicativo de la labor desarrollada, en ningún caso resulta determinante y autosuficiente para la ponderación global de la tarea realizada y, en consecuencia, para la consecuente determinación de la retribución por su intervención en esta instancia previa al proceso judicial strictu sensu.</w:t>
      </w:r>
    </w:p>
    <w:p>
      <w:pPr>
        <w:pStyle w:val="[Normal]"/>
        <w:spacing w:line="360" w:lineRule="auto"/>
        <w:ind w:firstLine="1134"/>
        <w:jc w:val="both"/>
        <w:rPr>
          <w:lang w:val="es-AR" w:eastAsia="es-AR" w:bidi="es-AR"/>
        </w:rPr>
      </w:pPr>
      <w:r>
        <w:rPr>
          <w:lang w:val="es-AR" w:eastAsia="es-AR" w:bidi="es-AR"/>
        </w:rPr>
        <w:t xml:space="preserve">Así las cosas, en la especie entiendo (conf. criterio vertido en causas N° 4162/20 RR-22-2022 y anteriores allí citadas) que de conformidad a la ley especial que rige en la materia y que deviene temporalmente aplicable al caso habida cuenta la fecha de realización de los trabajos respectivos -agosto y septiembre de 2023; artículos 31 de la ley 13.951 y 31 del decreto 600/21-, y meritando en dicho orden el monto que resulta de la liquidación aprobada en el proceso ($15.000.000), valor jus al momento de la regulación de primera instancia $49.750 (Ac. 4222/26 SCBA), monto del asunto equivalente a 301,50 jus, corresponde reducir los honorarios por las tareas de mediación, los que se fijan desde aquí en la suma equivalente a 20,87 jus de unidad arancelaria (art. 31 inc. "d" del decreto 600/21). </w:t>
      </w:r>
    </w:p>
    <w:p>
      <w:pPr>
        <w:pStyle w:val="[Normal]"/>
        <w:spacing w:line="360" w:lineRule="auto"/>
        <w:ind w:firstLine="1134"/>
        <w:jc w:val="both"/>
        <w:rPr>
          <w:lang w:val="es-AR" w:eastAsia="es-AR" w:bidi="es-AR"/>
        </w:rPr>
      </w:pPr>
      <w:r>
        <w:rPr>
          <w:lang w:val="es-AR" w:eastAsia="es-AR" w:bidi="es-AR"/>
        </w:rPr>
        <w:t xml:space="preserve">No se establecen costas ni aranceles profesionales en ésta Instancia</w:t>
      </w:r>
      <w:r>
        <w:rPr>
          <w:color w:val="000000"/>
          <w:lang w:val="es-AR" w:eastAsia="es-AR" w:bidi="es-AR"/>
        </w:rPr>
        <w:t xml:space="preserve"> por cuanto </w:t>
      </w:r>
      <w:r>
        <w:rPr>
          <w:i/>
          <w:color w:val="000000"/>
          <w:lang w:val="es-AR" w:eastAsia="es-AR" w:bidi="es-AR"/>
        </w:rPr>
        <w:t xml:space="preserve">"El procedimiento de regulación de honorarios no constituye juicio contradictorio de índole tal que genere costas por lo que el recurso deducido en aquel y los respectivos trabajos de Alzada no devengan honorarios" </w:t>
      </w:r>
      <w:r>
        <w:rPr>
          <w:color w:val="000000"/>
          <w:lang w:val="es-AR" w:eastAsia="es-AR" w:bidi="es-AR"/>
        </w:rPr>
        <w:t xml:space="preserve">(confr. esta Cámara causas C-6245 RSI 3 del 6-2-08; Nº 1291 RSI 10 del 7/2/14, Nº </w:t>
      </w:r>
      <w:r>
        <w:rPr>
          <w:lang w:val="es-AR" w:eastAsia="es-AR" w:bidi="es-AR"/>
        </w:rPr>
        <w:t xml:space="preserve">2457 RSI 6/2016, entre otros</w:t>
      </w:r>
      <w:r>
        <w:rPr>
          <w:color w:val="000000"/>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NEGATIVA.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w:t>
      </w:r>
    </w:p>
    <w:p>
      <w:pPr>
        <w:pStyle w:val="[Normal]"/>
        <w:spacing w:line="360" w:lineRule="auto"/>
        <w:ind w:firstLine="1134"/>
        <w:jc w:val="both"/>
        <w:rPr>
          <w:lang w:val="es-AR" w:eastAsia="es-AR" w:bidi="es-AR"/>
        </w:rPr>
      </w:pPr>
      <w:r>
        <w:rPr>
          <w:lang w:val="es-AR" w:eastAsia="es-AR" w:bidi="es-AR"/>
        </w:rPr>
        <w:t xml:space="preserve">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Hacer lugar parcialmente al recurso de apelación interpuesto, y en su mérito reducir los honorarios regulados a la mediadora Dra. María Laura Belluomini, los que se fijan desde aquí en la suma equivalente a 20,87 jus de unidad arancelaria. </w:t>
      </w:r>
    </w:p>
    <w:p>
      <w:pPr>
        <w:pStyle w:val="[Normal]"/>
        <w:spacing w:line="360" w:lineRule="auto"/>
        <w:ind w:firstLine="1134"/>
        <w:jc w:val="both"/>
        <w:rPr>
          <w:lang w:val="es-AR" w:eastAsia="es-AR" w:bidi="es-AR"/>
        </w:rPr>
      </w:pPr>
      <w:r>
        <w:rPr>
          <w:lang w:val="es-AR" w:eastAsia="es-AR" w:bidi="es-AR"/>
        </w:rPr>
        <w:t xml:space="preserve">Sin costas (art. 68 2º párr. CPCC).</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Hacer lugar parcialmente al recurso de apelación interpuesto, y en su mérito reducir los honorarios regulados a la mediadora Dra. María Laura Belluomini, los que se fijan desde aquí en la suma equivalente a 20,87 jus de unidad arancelaria. </w:t>
      </w:r>
    </w:p>
    <w:p>
      <w:pPr>
        <w:pStyle w:val="[Normal]"/>
        <w:spacing w:line="360" w:lineRule="auto"/>
        <w:ind w:firstLine="1134"/>
        <w:jc w:val="both"/>
        <w:rPr>
          <w:lang w:val="es-AR" w:eastAsia="es-AR" w:bidi="es-AR"/>
        </w:rPr>
      </w:pPr>
      <w:r>
        <w:rPr>
          <w:lang w:val="es-AR" w:eastAsia="es-AR" w:bidi="es-AR"/>
        </w:rPr>
        <w:t xml:space="preserve">Sin costas (art. 68 2º párr. CPCC).</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27221056030@NOTIFICACIONES.SCBA.GOV.AR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23298328119@NOTIFICACIONES.SCBA.GOV.AR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27314576824@NOTIFICACIONES.SCBA.GOV.AR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10:36:56 -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10:46:27 -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13:27:47 - BIANCO Luis Maria - AUXILIAR LETRADO DE CÁMARA DE APELACIÓN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‰9o")è&amp;ƒ^yzŠ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257902090006996289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11/08/2026 13:28:12 hs. bajo el número RS-128-2026 por PE\LBIANCO LUIS MARIA.</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