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ind w:firstLine="1134"/>
        <w:jc w:val="both"/>
        <w:rPr>
          <w:lang w:val="es-AR" w:eastAsia="es-AR" w:bidi="es-AR"/>
        </w:rPr>
      </w:pPr>
      <w:r>
        <w:rPr>
          <w:lang w:val="es-AR" w:eastAsia="es-AR" w:bidi="es-AR"/>
        </w:rPr>
        <w:t xml:space="preserve"> En la ciudad de Pergamino, reunidos en Acuerdo Ordinario los Sres. Jueces de la Excma. Cámara de Apelación en lo Civil y Comercial del Departamento Judicial Pergamino, para dictar sentencia en la causa N° </w:t>
      </w:r>
      <w:r>
        <w:rPr>
          <w:color w:val="000000"/>
          <w:lang w:val="es-AR" w:eastAsia="es-AR" w:bidi="es-AR"/>
        </w:rPr>
        <w:t xml:space="preserve">5783-25</w:t>
      </w:r>
      <w:r>
        <w:rPr>
          <w:lang w:val="es-AR" w:eastAsia="es-AR" w:bidi="es-AR"/>
        </w:rPr>
        <w:t xml:space="preserve"> caratulada </w:t>
      </w:r>
      <w:r>
        <w:rPr>
          <w:b/>
          <w:lang w:val="es-AR" w:eastAsia="es-AR" w:bidi="es-AR"/>
        </w:rPr>
        <w:t xml:space="preserve">"</w:t>
      </w:r>
      <w:r>
        <w:rPr>
          <w:b/>
          <w:color w:val="000000"/>
          <w:lang w:val="es-AR" w:eastAsia="es-AR" w:bidi="es-AR"/>
        </w:rPr>
        <w:t xml:space="preserve">ZEBALLOS RENZO MAXIMILIANO C/ BIANCO TAMARA LUJAN Y OTRO/A S/ DAÑOS Y PERJ.AUTOM. C/LES. O MUERTE (EXC.ESTADO)</w:t>
      </w:r>
      <w:r>
        <w:rPr>
          <w:b/>
          <w:lang w:val="es-AR" w:eastAsia="es-AR" w:bidi="es-AR"/>
        </w:rPr>
        <w:t xml:space="preserve">"</w:t>
      </w:r>
      <w:r>
        <w:rPr>
          <w:lang w:val="es-AR" w:eastAsia="es-AR" w:bidi="es-AR"/>
        </w:rPr>
        <w:t xml:space="preserve">, Expte. </w:t>
      </w:r>
      <w:r>
        <w:rPr>
          <w:color w:val="000000"/>
          <w:lang w:val="es-AR" w:eastAsia="es-AR" w:bidi="es-AR"/>
        </w:rPr>
        <w:t xml:space="preserve">78.311</w:t>
      </w:r>
      <w:r>
        <w:rPr>
          <w:color w:val="000000"/>
          <w:lang w:val="es-AR" w:eastAsia="es-AR" w:bidi="es-AR"/>
        </w:rPr>
        <w:t xml:space="preserve"> </w:t>
      </w:r>
      <w:r>
        <w:rPr>
          <w:lang w:val="es-AR" w:eastAsia="es-AR" w:bidi="es-AR"/>
        </w:rPr>
        <w:t xml:space="preserve">del Juzgado en lo Civil y Comercial N° 1, se practicó el sorteo de ley que determinó que la votación debía efectuarse en el siguiente orden: Graciela Scaraffia y Roberto Degleue,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apelada?</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la señora Jueza Graciela Scaraffia dijo:</w:t>
      </w:r>
    </w:p>
    <w:p>
      <w:pPr>
        <w:pStyle w:val="[Normal]"/>
        <w:spacing w:line="360" w:lineRule="auto"/>
        <w:ind w:firstLine="1134"/>
        <w:jc w:val="both"/>
        <w:rPr>
          <w:lang w:val="es-AR" w:eastAsia="es-AR" w:bidi="es-AR"/>
        </w:rPr>
      </w:pPr>
      <w:r>
        <w:rPr>
          <w:lang w:val="es-AR" w:eastAsia="es-AR" w:bidi="es-AR"/>
        </w:rPr>
        <w:t xml:space="preserve">El Sr. Juez de la anterior instancia reguló los honorarios de la mediadora designada en autos Dra. Marianela García Bojanich por su labor desarrollada en la etapa previa entre los meses de noviembre de 2022 y abril de 2023, en la suma equivalente a veinte con 87/100 (20,87) jus de unidad arancelaria, debiendo adicionarse el porcentual de ley (art. 31 ley 13.951, art. 31 inc. "d" del decreto reglam. 600/21) y el porcentaje de ley previsto para el IVA en cuanto correspondiere. </w:t>
      </w:r>
    </w:p>
    <w:p>
      <w:pPr>
        <w:pStyle w:val="[Normal]"/>
        <w:spacing w:line="360" w:lineRule="auto"/>
        <w:ind w:firstLine="1134"/>
        <w:jc w:val="both"/>
        <w:rPr>
          <w:lang w:val="es-AR" w:eastAsia="es-AR" w:bidi="es-AR"/>
        </w:rPr>
      </w:pPr>
      <w:r>
        <w:rPr>
          <w:lang w:val="es-AR" w:eastAsia="es-AR" w:bidi="es-AR"/>
        </w:rPr>
        <w:t xml:space="preserve">Tal decisorio, fue objeto del recurso de apelación interpuesto el día 3-10-2025 por el Dr. José Carlos Caluch, apoderado de la demandada y citada en garantía. Dicha pieza fue concedida el 8-10-2025 en relación y con efecto suspensivo. Asimismo se dio traslado a la mediadora, la cual contestó en fecha 17-6-2026.</w:t>
      </w:r>
    </w:p>
    <w:p>
      <w:pPr>
        <w:pStyle w:val="[Normal]"/>
        <w:spacing w:line="360" w:lineRule="auto"/>
        <w:ind w:firstLine="1134"/>
        <w:jc w:val="both"/>
        <w:rPr>
          <w:lang w:val="es-AR" w:eastAsia="es-AR" w:bidi="es-AR"/>
        </w:rPr>
      </w:pPr>
      <w:r>
        <w:rPr>
          <w:lang w:val="es-AR" w:eastAsia="es-AR" w:bidi="es-AR"/>
        </w:rPr>
        <w:t xml:space="preserve">Elevados los autos a esta Alzada con fecha 25-6-2026, se realizó el llamamiento de autos, providencia que se encuentra firme a la fecha, dejando la presente causa en condiciones de ser fallada.</w:t>
      </w:r>
    </w:p>
    <w:p>
      <w:pPr>
        <w:pStyle w:val="[Normal]"/>
        <w:spacing w:line="360" w:lineRule="auto"/>
        <w:ind w:firstLine="1134"/>
        <w:jc w:val="both"/>
        <w:rPr>
          <w:lang w:val="es-AR" w:eastAsia="es-AR" w:bidi="es-AR"/>
        </w:rPr>
      </w:pPr>
      <w:r>
        <w:rPr>
          <w:lang w:val="es-AR" w:eastAsia="es-AR" w:bidi="es-AR"/>
        </w:rPr>
        <w:t xml:space="preserve">El recurrente cuestiona el monto fijado por considerarlo excesivo y desproporcionado en relación con el acuerdo alcanzado y con la labor efectivamente desarrollada en la etapa de mediación. Sostiene que la intervención se habría limitado al envío de una carta documento y a la celebración de una audiencia, afirmando que la estrategia y conducción del conflicto recayeron en las representaciones letradas.</w:t>
      </w:r>
    </w:p>
    <w:p>
      <w:pPr>
        <w:pStyle w:val="[Normal]"/>
        <w:spacing w:line="360" w:lineRule="auto"/>
        <w:ind w:firstLine="1134"/>
        <w:jc w:val="both"/>
        <w:rPr>
          <w:lang w:val="es-AR" w:eastAsia="es-AR" w:bidi="es-AR"/>
        </w:rPr>
      </w:pPr>
      <w:r>
        <w:rPr>
          <w:lang w:val="es-AR" w:eastAsia="es-AR" w:bidi="es-AR"/>
        </w:rPr>
        <w:t xml:space="preserve">En ese marco, plantea la inconstitucionalidad del art. 31 de la Ley 13.951 y del art. 31 del Decreto Reglamentario 600/21, por entender que las escalas allí previstas conducen a resultados irrazonables y vulneran garantías constitucionales tales como el derecho de propiedad, la defensa en juicio, el debido proceso y la igualdad ante la ley. Invoca precedentes jurisprudenciales relativos a normas arancelarias aplicables a peritos, en los que se declaró su inconstitucionalidad cuando la aplicación automática de las escalas generaba honorarios desproporcionados en relación con la labor efectivamente realizada.</w:t>
      </w:r>
    </w:p>
    <w:p>
      <w:pPr>
        <w:pStyle w:val="[Normal]"/>
        <w:spacing w:line="360" w:lineRule="auto"/>
        <w:ind w:firstLine="1134"/>
        <w:jc w:val="both"/>
        <w:rPr>
          <w:lang w:val="es-AR" w:eastAsia="es-AR" w:bidi="es-AR"/>
        </w:rPr>
      </w:pPr>
      <w:r>
        <w:rPr>
          <w:lang w:val="es-AR" w:eastAsia="es-AR" w:bidi="es-AR"/>
        </w:rPr>
        <w:t xml:space="preserve">Solicita se revoque la regulación practicada, se declare la inconstitucionalidad de las disposiciones cuestionadas y se adecúe la retribución a pautas de razonabilidad que contemplen la importancia, alcance y resultado de la tarea cumplida.</w:t>
      </w:r>
    </w:p>
    <w:p>
      <w:pPr>
        <w:pStyle w:val="[Normal]"/>
        <w:spacing w:line="360" w:lineRule="auto"/>
        <w:ind w:firstLine="1134"/>
        <w:jc w:val="both"/>
        <w:rPr>
          <w:lang w:val="es-AR" w:eastAsia="es-AR" w:bidi="es-AR"/>
        </w:rPr>
      </w:pPr>
      <w:r>
        <w:rPr>
          <w:lang w:val="es-AR" w:eastAsia="es-AR" w:bidi="es-AR"/>
        </w:rPr>
        <w:t xml:space="preserve">Al contestar el traslado conferido la mediadora rebate los argumentos expuestos por el apelante y peticiona el rechazo del recurso deducido. </w:t>
      </w:r>
    </w:p>
    <w:p>
      <w:pPr>
        <w:pStyle w:val="[Normal]"/>
        <w:spacing w:line="360" w:lineRule="auto"/>
        <w:ind w:firstLine="1134"/>
        <w:jc w:val="both"/>
        <w:rPr>
          <w:lang w:val="es-AR" w:eastAsia="es-AR" w:bidi="es-AR"/>
        </w:rPr>
      </w:pPr>
      <w:r>
        <w:rPr>
          <w:lang w:val="es-AR" w:eastAsia="es-AR" w:bidi="es-AR"/>
        </w:rPr>
        <w:t xml:space="preserve">Liminarmente, ha de recordarse que éste Tribunal en reiteradas oportunidades en análogos cuestionamientos, ha reconocido la potestad del juzgador para adecuar los honorarios de los mediadores sin llegar a la declaración de inconstitucionalidad de la normativa referida (CAP, C. N° 4822 RSD 47/2023 del 18-4-2023, N° 2464, N° 3889, N° 2631, entr. otrs.), la que sabido es que por su extrema gravedad  debe ser considerada como  última ratio del orden jurídico. En esa línea, hemos señalado que no existe interés procesal en declarar la inconstitucionalidad de la normativa específica aplicable en materia de honorarios de mediadores, ya que su vigencia no impide ponderar circunstancias del caso concreto ni aplicar, en su caso, el art. 1255 segundo párrafo CCyC cuando correspondiere (v. CAP N° 5306 RSD 90/2024).</w:t>
      </w:r>
    </w:p>
    <w:p>
      <w:pPr>
        <w:pStyle w:val="[Normal]"/>
        <w:spacing w:line="360" w:lineRule="auto"/>
        <w:ind w:firstLine="1134"/>
        <w:jc w:val="both"/>
        <w:rPr>
          <w:b/>
          <w:lang w:val="es-AR" w:eastAsia="es-AR" w:bidi="es-AR"/>
        </w:rPr>
      </w:pPr>
      <w:r>
        <w:rPr>
          <w:lang w:val="es-AR" w:eastAsia="es-AR" w:bidi="es-AR"/>
        </w:rPr>
        <w:t xml:space="preserve">En el caso, el apelante no logra demostrar que la aplicación del art. 31 de la Ley 13.951 y su decreto reglamentario genere un supuesto concreto de confiscatoriedad o irrazonabilidad manifiesta, sino que formula un cuestionamiento abstracto del sistema arancelario, por lo que tal planteo resulta insuficiente para habilitar el control constitucional pretendido.</w:t>
      </w:r>
    </w:p>
    <w:p>
      <w:pPr>
        <w:pStyle w:val="[Normal]"/>
        <w:spacing w:line="360" w:lineRule="auto"/>
        <w:ind w:firstLine="1134"/>
        <w:jc w:val="both"/>
        <w:rPr>
          <w:b/>
          <w:lang w:val="es-AR" w:eastAsia="es-AR" w:bidi="es-AR"/>
        </w:rPr>
      </w:pPr>
      <w:r>
        <w:rPr>
          <w:lang w:val="es-AR" w:eastAsia="es-AR" w:bidi="es-AR"/>
        </w:rPr>
        <w:t xml:space="preserve">Sentado lo que precede, cabe adentrarse en el tratamiento del recurso en tanto el agravio lo constituye el monto regulado a la letrada  Marianela García Bojanich por su trabajo como mediadora, que en la instancia de origen se los determinó en la suma equivalente a 20,87 jus de unidad arancelaria y que el apelante entiende desproporcionado.</w:t>
      </w:r>
    </w:p>
    <w:p>
      <w:pPr>
        <w:pStyle w:val="[Normal]"/>
        <w:spacing w:line="360" w:lineRule="auto"/>
        <w:ind w:firstLine="1134"/>
        <w:jc w:val="both"/>
        <w:rPr>
          <w:b/>
          <w:lang w:val="es-AR" w:eastAsia="es-AR" w:bidi="es-AR"/>
        </w:rPr>
      </w:pPr>
      <w:r>
        <w:rPr>
          <w:lang w:val="es-AR" w:eastAsia="es-AR" w:bidi="es-AR"/>
        </w:rPr>
        <w:t xml:space="preserve">Para ello considero oportuno señalar que no comparto los argumentos expuestos por el letrado de la citada en garantía, en tanto tienden a desvalorizar la tarea desarrollada por la mediadora al afirmar que la misma se ha ceñido al envío de una carta documento y celebración de una audiencia, añadiendo que su intervención encarecería injustificadamente el acceso a la justicia.</w:t>
      </w:r>
      <w:r>
        <w:rPr>
          <w:b/>
          <w:lang w:val="es-AR" w:eastAsia="es-AR" w:bidi="es-AR"/>
        </w:rPr>
        <w:t xml:space="preserve"> </w:t>
      </w:r>
      <w:r>
        <w:rPr>
          <w:lang w:val="es-AR" w:eastAsia="es-AR" w:bidi="es-AR"/>
        </w:rPr>
        <w:t xml:space="preserve">Tales manifestaciones no pueden erigirse en un factor determinante para solicitar la reducción de los honorarios profesionales. Por el contrario, corresponde recordar que la Ley de Mediación, así como su decreto reglamentario, establecen pautas y montos mínimos que buscan reconocer la especificidad de su labor, garantizar la sostenibilidad del servicio y asegurar su función preventiva y desjudicializadora. Admitir regulaciones sensiblemente inferiores desnaturalizaría esa finalidad legal y podría desalentar la intervención efectiva de quienes cumplen un rol central en la construcción de soluciones tempranas y en la protección de derechos de los justiciables.</w:t>
      </w:r>
    </w:p>
    <w:p>
      <w:pPr>
        <w:pStyle w:val="[Normal]"/>
        <w:spacing w:line="360" w:lineRule="auto"/>
        <w:ind w:firstLine="1134"/>
        <w:jc w:val="both"/>
        <w:rPr>
          <w:b/>
          <w:lang w:val="es-AR" w:eastAsia="es-AR" w:bidi="es-AR"/>
        </w:rPr>
      </w:pPr>
      <w:r>
        <w:rPr>
          <w:lang w:val="es-AR" w:eastAsia="es-AR" w:bidi="es-AR"/>
        </w:rPr>
        <w:t xml:space="preserve">Respecto de ello último, resulta pertinente recordar la finalidad que el legislador provincial tuvo al sancionar la Ley de Mediación, esto es, otorgarle a la ciudadanía una herramienta alternativa prejudicial de resolución de conflictos para que éstos se resuelvan a la mayor brevedad posible y cuyos beneficios van más allá del interés de las partes, dado que se extiende a las bondades que de ello se derivan, como ser una menor judicialización de las causas, que redunda en un mejor servicio de justicia; toda vez que el justiciable compone el litigio en un tiempo concomitante con el hecho lo que derrama en un beneficio tanto para el particular como para la comunidad (conf. CAP C. N° 4822 RSD 47/2023 del 18-4-2023; N° 4334 RS-143-2022 del 24-11-2022, entre. otr). </w:t>
      </w:r>
    </w:p>
    <w:p>
      <w:pPr>
        <w:pStyle w:val="[Normal]"/>
        <w:spacing w:line="360" w:lineRule="auto"/>
        <w:ind w:firstLine="1134"/>
        <w:jc w:val="both"/>
        <w:rPr>
          <w:b/>
          <w:lang w:val="es-AR" w:eastAsia="es-AR" w:bidi="es-AR"/>
        </w:rPr>
      </w:pPr>
      <w:r>
        <w:rPr>
          <w:lang w:val="es-AR" w:eastAsia="es-AR" w:bidi="es-AR"/>
        </w:rPr>
        <w:t xml:space="preserve">A mayor abundamiento, cabe agregar que la operatividad del principio de confidencialidad en materia de mediación prejudicial (art. 1 y 16 de la ley 13.951) limita la posibilidad de valorar integralmente la entidad, calidad y cantidad de la prestación profesional brindada por la mediadora, toda vez que es la propia ley la que veda la reproducción de los hechos acaecidos durante la realización de dicha etapa.</w:t>
      </w:r>
      <w:r>
        <w:rPr>
          <w:b/>
          <w:lang w:val="es-AR" w:eastAsia="es-AR" w:bidi="es-AR"/>
        </w:rPr>
        <w:t xml:space="preserve"> </w:t>
      </w:r>
      <w:r>
        <w:rPr>
          <w:lang w:val="es-AR" w:eastAsia="es-AR" w:bidi="es-AR"/>
        </w:rPr>
        <w:t xml:space="preserve">Con lo cual la cantidad de audiencias realizadas, las características del acta de audiencia y cualquier otra constancia que acredite una gestión llevada a cabo por la mediadora, si bien puede tener un valor indicativo de la labor desarrollada, en ningún caso resulta determinante y autosuficiente para la ponderación global de la tarea realizada y, en consecuencia, para la consecuente determinación de la retribución por su intervención en esta instancia previa al proceso judicial strictu sensu (conf. CAP N° 5465 RSD 183/2024 del 12-12-2024, entre. otr).</w:t>
      </w:r>
    </w:p>
    <w:p>
      <w:pPr>
        <w:pStyle w:val="[Normal]"/>
        <w:spacing w:line="360" w:lineRule="auto"/>
        <w:ind w:firstLine="1134"/>
        <w:jc w:val="both"/>
        <w:rPr>
          <w:b/>
          <w:lang w:val="es-AR" w:eastAsia="es-AR" w:bidi="es-AR"/>
        </w:rPr>
      </w:pPr>
      <w:r>
        <w:rPr>
          <w:lang w:val="es-AR" w:eastAsia="es-AR" w:bidi="es-AR"/>
        </w:rPr>
        <w:t xml:space="preserve">En ese contexto, considero que si bien en la presente se celebró una audiencia de mediación y por falta de acuerdo de las partes se cerró el trámite, cabe presumir que la realización de la misma estuvo precedida de ciertos actos previos indispensables -estudio de antecedentes, organización del encuentro, diligencias de notificación, dirección del procedimiento, entre otros- cuya entidad no siempre resulta reflejada en el acta final y cuya valoración se ve limitada por el principio de confidencialidad previsto en los arts. 1 y 16 de la Ley 13.951, lo que constituye causa suficiente para justificar el pago de los honorarios devengados por parte del obligado. Adunando al respecto que si la tarea de la mediadora quedó así circunscripta no fue por razones atribuibles a ella, sino por cuestiones vinculadas a la propia voluntad de las partes de no llegar a un acuerdo.</w:t>
      </w:r>
    </w:p>
    <w:p>
      <w:pPr>
        <w:pStyle w:val="[Normal]"/>
        <w:spacing w:line="360" w:lineRule="auto"/>
        <w:ind w:firstLine="1134"/>
        <w:jc w:val="both"/>
        <w:rPr>
          <w:b/>
          <w:lang w:val="es-AR" w:eastAsia="es-AR" w:bidi="es-AR"/>
        </w:rPr>
      </w:pPr>
      <w:r>
        <w:rPr>
          <w:lang w:val="es-AR" w:eastAsia="es-AR" w:bidi="es-AR"/>
        </w:rPr>
        <w:t xml:space="preserve">Así las cosas, en la especie entiendo (conf. criterio vertido en causas N° 4162/20 RR-22-2022 y anteriores allí citadas) que de conformidad a la ley especial que rige en la materia y que deviene temporalmente aplicable al caso habida cuenta la fecha de realización de los trabajos respectivos -noviembre de 2022 y abril de 2023; artículos 31 de la ley 13.951 y 31 del decreto 600/21-, y meritando en dicho orden el monto que resulta de la transacción arribada en el proceso ($7.000.000, valor jus al momento de la regulación de primera instancia $43.275 (Ac. 4200/25 SCBA), monto del asunto equivalente a 161.75 jus), los honorarios regulados en favor de la mediadora interviniente por los trabajos realizados en autos no se aprecian elevados y retribuyen adecuadamente la tarea cumplida por la misma, de </w:t>
      </w:r>
      <w:r>
        <w:rPr>
          <w:color w:val="000000"/>
          <w:lang w:val="es-AR" w:eastAsia="es-AR" w:bidi="es-AR"/>
        </w:rPr>
        <w:t xml:space="preserve">conformidad a las pautas contenidas en los </w:t>
      </w:r>
      <w:r>
        <w:rPr>
          <w:lang w:val="es-AR" w:eastAsia="es-AR" w:bidi="es-AR"/>
        </w:rPr>
        <w:t xml:space="preserve">arts. 31 de la ley 13.951, art. 31 inc. "d" del decreto 600/21). </w:t>
      </w:r>
    </w:p>
    <w:p>
      <w:pPr>
        <w:pStyle w:val="[Normal]"/>
        <w:spacing w:line="360" w:lineRule="auto"/>
        <w:ind w:firstLine="1134"/>
        <w:jc w:val="both"/>
        <w:rPr>
          <w:lang w:val="es-AR" w:eastAsia="es-AR" w:bidi="es-AR"/>
        </w:rPr>
      </w:pPr>
      <w:r>
        <w:rPr>
          <w:lang w:val="es-AR" w:eastAsia="es-AR" w:bidi="es-AR"/>
        </w:rPr>
        <w:t xml:space="preserve">En atención a lo expuesto, y no advirtiendo una vulneración al principio de razonabilidad, propongo al Acuerdo confirmar la regulación practicada a la mediadora interviniente. Ello es así porque, aún cuando el marco normativo habilita a los jueces a adecuar equitativamente los honorarios cuando la aplicación estricta de los aranceles genere una desproporción injustificada entre la retribución y la tarea efectivamente realizada, en este caso no se advierten elementos que justifiquen apartarse de los parámetros establecidos.</w:t>
      </w:r>
    </w:p>
    <w:p>
      <w:pPr>
        <w:pStyle w:val="[Normal]"/>
        <w:spacing w:line="360" w:lineRule="auto"/>
        <w:ind w:firstLine="1134"/>
        <w:jc w:val="both"/>
        <w:rPr>
          <w:lang w:val="es-AR" w:eastAsia="es-AR" w:bidi="es-AR"/>
        </w:rPr>
      </w:pPr>
      <w:r>
        <w:rPr>
          <w:lang w:val="es-AR" w:eastAsia="es-AR" w:bidi="es-AR"/>
        </w:rPr>
        <w:t xml:space="preserve">No se establecen costas ni aranceles profesionales en ésta instancia</w:t>
      </w:r>
      <w:r>
        <w:rPr>
          <w:color w:val="000000"/>
          <w:lang w:val="es-AR" w:eastAsia="es-AR" w:bidi="es-AR"/>
        </w:rPr>
        <w:t xml:space="preserve"> por cuanto </w:t>
      </w:r>
      <w:r>
        <w:rPr>
          <w:i/>
          <w:color w:val="000000"/>
          <w:lang w:val="es-AR" w:eastAsia="es-AR" w:bidi="es-AR"/>
        </w:rPr>
        <w:t xml:space="preserve">"El procedimiento de regulación de honorarios no constituye juicio contradictorio de índole tal que genere costas por lo que el recurso deducido en aquel y los respectivos trabajos de Alzada no devengan honorarios" </w:t>
      </w:r>
      <w:r>
        <w:rPr>
          <w:color w:val="000000"/>
          <w:lang w:val="es-AR" w:eastAsia="es-AR" w:bidi="es-AR"/>
        </w:rPr>
        <w:t xml:space="preserve">(confr. esta Cámara causas C-6245 RSI 3 del 6-2-08; Nº 1291 RSI 10 del 7/2/14, Nº </w:t>
      </w:r>
      <w:r>
        <w:rPr>
          <w:lang w:val="es-AR" w:eastAsia="es-AR" w:bidi="es-AR"/>
        </w:rPr>
        <w:t xml:space="preserve">2457 RSI 6/2016, entre otros</w:t>
      </w:r>
      <w:r>
        <w:rPr>
          <w:color w:val="000000"/>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AFIRMATIVA</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la señora Jueza Graciela Scaraffia dijo: </w:t>
      </w:r>
    </w:p>
    <w:p>
      <w:pPr>
        <w:pStyle w:val="[Normal]"/>
        <w:spacing w:line="360" w:lineRule="auto"/>
        <w:ind w:firstLine="1134"/>
        <w:jc w:val="both"/>
        <w:rPr>
          <w:lang w:val="es-AR" w:eastAsia="es-AR" w:bidi="es-AR"/>
        </w:rPr>
      </w:pPr>
      <w:r>
        <w:rPr>
          <w:lang w:val="es-AR" w:eastAsia="es-AR" w:bidi="es-AR"/>
        </w:rPr>
        <w:t xml:space="preserve">De conformidad al resultado habido al tratarse la cuestión precedente, estimo que el pronunciamiento que corresponde dictar 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ind w:firstLine="1120"/>
        <w:jc w:val="both"/>
        <w:rPr>
          <w:lang w:val="es-AR" w:eastAsia="es-AR" w:bidi="es-AR"/>
        </w:rPr>
      </w:pPr>
      <w:r>
        <w:rPr>
          <w:lang w:val="es-AR" w:eastAsia="es-AR" w:bidi="es-AR"/>
        </w:rPr>
        <w:t xml:space="preserve">Desestimar el recurso de apelación interpuesto, y en consecuencia confirmar el decisorio puesto en crisis. </w:t>
      </w:r>
    </w:p>
    <w:p>
      <w:pPr>
        <w:pStyle w:val="[Normal]"/>
        <w:spacing w:line="360" w:lineRule="auto"/>
        <w:ind w:firstLine="1134"/>
        <w:jc w:val="both"/>
        <w:rPr>
          <w:lang w:val="es-AR" w:eastAsia="es-AR" w:bidi="es-AR"/>
        </w:rPr>
      </w:pPr>
      <w:r>
        <w:rPr>
          <w:lang w:val="es-AR" w:eastAsia="es-AR" w:bidi="es-AR"/>
        </w:rPr>
        <w:t xml:space="preserve">Sin costas</w:t>
      </w:r>
      <w:r>
        <w:rPr>
          <w:color w:val="000000"/>
          <w:lang w:val="es-AR" w:eastAsia="es-AR" w:bidi="es-AR"/>
        </w:rPr>
        <w:t xml:space="preserve"> (art. 68 2º párr. CPCC).</w:t>
      </w:r>
    </w:p>
    <w:p>
      <w:pPr>
        <w:pStyle w:val="[Normal]"/>
        <w:spacing w:line="360" w:lineRule="auto"/>
        <w:ind w:firstLine="1134"/>
        <w:jc w:val="both"/>
        <w:rPr>
          <w:lang w:val="es-AR" w:eastAsia="es-AR" w:bidi="es-AR"/>
        </w:rPr>
      </w:pPr>
      <w:r>
        <w:rPr>
          <w:b/>
          <w:lang w:val="es-AR" w:eastAsia="es-AR" w:bidi="es-AR"/>
        </w:rPr>
        <w:t xml:space="preserve">ASI LO VOTO. </w:t>
      </w:r>
    </w:p>
    <w:p>
      <w:pPr>
        <w:pStyle w:val="[Normal]"/>
        <w:spacing w:line="360" w:lineRule="auto"/>
        <w:ind w:firstLine="1134"/>
        <w:jc w:val="both"/>
        <w:rPr>
          <w:lang w:val="es-AR" w:eastAsia="es-AR" w:bidi="es-AR"/>
        </w:rPr>
      </w:pPr>
      <w:r>
        <w:rPr>
          <w:lang w:val="es-AR" w:eastAsia="es-AR" w:bidi="es-AR"/>
        </w:rPr>
        <w:t xml:space="preserve">A la misma cuestión el señor Juez Roberto Degleue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lang w:val="es-AR" w:eastAsia="es-AR" w:bidi="es-AR"/>
        </w:rPr>
        <w:t xml:space="preserve">S E N T E N C I A</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Desestimar el recurso de apelación interpuesto, y en consecuencia confirmar el decisorio puesto en crisis. </w:t>
      </w:r>
    </w:p>
    <w:p>
      <w:pPr>
        <w:pStyle w:val="[Normal]"/>
        <w:spacing w:line="360" w:lineRule="auto"/>
        <w:ind w:firstLine="1134"/>
        <w:jc w:val="both"/>
        <w:rPr>
          <w:lang w:val="es-AR" w:eastAsia="es-AR" w:bidi="es-AR"/>
        </w:rPr>
      </w:pPr>
      <w:r>
        <w:rPr>
          <w:lang w:val="es-AR" w:eastAsia="es-AR" w:bidi="es-AR"/>
        </w:rPr>
        <w:t xml:space="preserve">Sin costas (art. 68 2º párr. CPCC).</w:t>
      </w:r>
    </w:p>
    <w:p>
      <w:pPr>
        <w:pStyle w:val="[Normal]"/>
        <w:spacing w:line="360" w:lineRule="auto"/>
        <w:ind w:firstLine="1134"/>
        <w:jc w:val="both"/>
        <w:rPr>
          <w:lang w:val="es-AR" w:eastAsia="es-AR" w:bidi="es-AR"/>
        </w:rPr>
      </w:pPr>
      <w:r>
        <w:rPr>
          <w:lang w:val="es-AR" w:eastAsia="es-AR" w:bidi="es-AR"/>
        </w:rPr>
        <w:t xml:space="preserve">Regístrese. Notifíquese por Secretaría (Ac. 4013 SCBA) remitiéndose copia digital de la presente sentencia a los domicilios electrónicos de las respectivas partes. Devuélvase.-</w:t>
      </w:r>
    </w:p>
    <w:p>
      <w:pPr>
        <w:pStyle w:val="[Normal]"/>
        <w:spacing w:line="360" w:lineRule="auto"/>
        <w:ind w:firstLine="1134"/>
        <w:jc w:val="both"/>
        <w:rPr>
          <w:color w:val="000000"/>
          <w:lang w:val="es-AR" w:eastAsia="es-AR" w:bidi="es-AR"/>
        </w:rPr>
      </w:pPr>
    </w:p>
    <w:p>
      <w:pPr>
        <w:pStyle w:val="[Normal]"/>
        <w:spacing w:line="480" w:lineRule="auto"/>
        <w:ind w:firstLine="1134"/>
        <w:jc w:val="both"/>
        <w:rPr>
          <w:color w:val="000000"/>
          <w:lang w:val="es-AR" w:eastAsia="es-AR" w:bidi="es-AR"/>
        </w:rPr>
      </w:pPr>
      <w:r>
        <w:rPr>
          <w:color w:val="000000"/>
          <w:lang w:val="es-AR" w:eastAsia="es-AR" w:bidi="es-AR"/>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REFERENCIAS: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Domicilio Electrónico: 20231327852@NOTIFICACIONES.SCBA.GOV.AR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Domicilio Electrónico: 27317419258@NOTIFICACIONES.SCBA.GOV.AR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Domicilio Electrónico: 23298328119@NOTIFICACIONES.SCBA.GOV.AR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10:53:26 - SCARAFFIA Graciela Hilda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10:53:52 - DEGLEUE Roberto Manuel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06/08/2026 13:04:28 - TROTTA Alfonso Bartolome - AUXILIAR LETRADO DE CÁMARA DE APELACIÓN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lang w:val="es-AR" w:eastAsia="es-AR" w:bidi="es-AR"/>
        </w:rPr>
      </w:pPr>
      <w:r>
        <w:rPr>
          <w:rFonts w:ascii="BarCode 128" w:hAnsi="BarCode 128" w:eastAsia="BarCode 128" w:cs="BarCode 128"/>
          <w:sz w:val="60"/>
          <w:lang w:val="es-AR" w:eastAsia="es-AR" w:bidi="es-AR"/>
        </w:rPr>
        <w:t xml:space="preserve">‰:è")è&amp;ƒ[Q`Š</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lang w:val="es-AR" w:eastAsia="es-AR" w:bidi="es-AR"/>
        </w:rPr>
      </w:pPr>
      <w:r>
        <w:rPr>
          <w:sz w:val="20"/>
          <w:lang w:val="es-AR" w:eastAsia="es-AR" w:bidi="es-AR"/>
        </w:rPr>
        <w:t xml:space="preserve">260002090006995949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lang w:val="es-AR" w:eastAsia="es-AR" w:bidi="es-AR"/>
        </w:rPr>
        <w:t xml:space="preserve">CAMARA DE APELACION EN LO CIVIL Y COMERCIAL PERGAMINO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NO CONTIENE ARCHIVOS ADJUNTOS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Registrado en REGISTRO DE SENTENCIAS el 06/08/2026 13:04:40 hs. bajo el número RS-118-2026 por TROTTA ALFONSO BARTOLOME.</w:t>
      </w:r>
    </w:p>
    <w:p>
      <w:pPr>
        <w:pStyle w:val="[Normal]"/>
        <w:rPr>
          <w:lang w:val="es-AR" w:eastAsia="es-AR" w:bidi="es-AR"/>
        </w:rPr>
      </w:pP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