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color w:val="000000"/>
          <w:lang w:val="es-AR" w:eastAsia="es-AR" w:bidi="es-AR"/>
        </w:rPr>
        <w:t xml:space="preserve">6115-26</w:t>
      </w:r>
      <w:r>
        <w:rPr>
          <w:lang w:val="es-AR" w:eastAsia="es-AR" w:bidi="es-AR"/>
        </w:rPr>
        <w:t xml:space="preserve"> caratulada </w:t>
      </w:r>
      <w:r>
        <w:rPr>
          <w:b/>
          <w:lang w:val="es-AR" w:eastAsia="es-AR" w:bidi="es-AR"/>
        </w:rPr>
        <w:t xml:space="preserve">"</w:t>
      </w:r>
      <w:r>
        <w:rPr>
          <w:b/>
          <w:color w:val="000000"/>
          <w:lang w:val="es-AR" w:eastAsia="es-AR" w:bidi="es-AR"/>
        </w:rPr>
        <w:t xml:space="preserve">ADDUC ASOCIACION DE DEFENSA DE DERECHOS DE USUARIOS Y CONSUMIDORE  C/ HUGO EDUARDO APESTEGUIA S.A.  S/ DAÑOS Y PERJUICIOS EXTRACONTRACTUAL</w:t>
      </w:r>
      <w:r>
        <w:rPr>
          <w:b/>
          <w:lang w:val="es-AR" w:eastAsia="es-AR" w:bidi="es-AR"/>
        </w:rPr>
        <w:t xml:space="preserve">"</w:t>
      </w:r>
      <w:r>
        <w:rPr>
          <w:lang w:val="es-AR" w:eastAsia="es-AR" w:bidi="es-AR"/>
        </w:rPr>
        <w:t xml:space="preserve">, Expte. N° 80.246 del Juzgado Civil y Comercial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señor Juez de la anterior sede hizo lugar a la excepción de incompetencia interpuesta por la parte demandada, disponiendo en consecuencia la incompetencia material de este Juzgado Civil y Comercial n° 1 para continuar entendiendo en el caso (conf. arts. 1, 2, 6, ss. y cc. de la Ley 12.008, texto actualizado; arts. 1/6, 345, ss. y cc. del C.P.C.C.B.A.; Acordadas n° 3103 y 3503 de la S.C.B.A.; y art. 166 de la Constitución provincial). Con costas a la parte actora, que resulta vencida; difiriendo la regulación de los honorarios de los profesionales intervinientes hasta el momento en que haya determinación firme de la base para ello (arts. 47, 51, ss. y cc. de la ley arancelaria aplicable). Dispuso atento lo resuelto (incompetencia), que no corresponde analizar las restantes cuestiones que se encuentran pendientes de resolución (excepción de falta de legitimación activa, falta de personería e intervención de tercero), las que serán tratadas por el magistrado que habrá de intervenir en lo sucesivo (conf. arts. 34, 36, 345, ss. y cc. del CPCC). Ordenó remitir los autos virtualmente al Sr. Juez en lo Contencioso Administrativo n° 1 departamental, una vez firme la resolución.</w:t>
      </w:r>
    </w:p>
    <w:p>
      <w:pPr>
        <w:pStyle w:val="[Normal]"/>
        <w:spacing w:line="360" w:lineRule="auto"/>
        <w:ind w:firstLine="1134"/>
        <w:jc w:val="both"/>
        <w:rPr>
          <w:lang w:val="es-AR" w:eastAsia="es-AR" w:bidi="es-AR"/>
        </w:rPr>
      </w:pPr>
      <w:r>
        <w:rPr>
          <w:lang w:val="es-AR" w:eastAsia="es-AR" w:bidi="es-AR"/>
        </w:rPr>
        <w:t xml:space="preserve">Dicho pronunciamiento es apelado por el apoderado de la parte actora el 30-4-2026, siendo concedido el recurso el 6-5-2026 en relación, y fundado el 15-5-2026, confiriéndose traslado a la contraparte quien contesta el 29-5-2026.</w:t>
      </w:r>
    </w:p>
    <w:p>
      <w:pPr>
        <w:pStyle w:val="[Normal]"/>
        <w:spacing w:line="360" w:lineRule="auto"/>
        <w:ind w:firstLine="1134"/>
        <w:jc w:val="both"/>
        <w:rPr>
          <w:lang w:val="es-AR" w:eastAsia="es-AR" w:bidi="es-AR"/>
        </w:rPr>
      </w:pPr>
      <w:r>
        <w:rPr>
          <w:lang w:val="es-AR" w:eastAsia="es-AR" w:bidi="es-AR"/>
        </w:rPr>
        <w:t xml:space="preserve">Ingresada la causa a este organismo el 3-6-2026, se da vista al Agente Fiscal el 11-6-2026, contestando la misma el 17-6-2026, llamándose autos para resolver el 23-6-2026, providencia que estando firme a la fecha deja la causa en condiciones de ser tratada.</w:t>
      </w:r>
    </w:p>
    <w:p>
      <w:pPr>
        <w:pStyle w:val="[Normal]"/>
        <w:spacing w:line="360" w:lineRule="auto"/>
        <w:ind w:firstLine="1134"/>
        <w:jc w:val="both"/>
        <w:rPr>
          <w:lang w:val="es-AR" w:eastAsia="es-AR" w:bidi="es-AR"/>
        </w:rPr>
      </w:pPr>
      <w:r>
        <w:rPr>
          <w:lang w:val="es-AR" w:eastAsia="es-AR" w:bidi="es-AR"/>
        </w:rPr>
        <w:t xml:space="preserve">En sustento de su crítica recursiva, la parte actora formuló los siguientes agravios:</w:t>
      </w:r>
    </w:p>
    <w:p>
      <w:pPr>
        <w:pStyle w:val="[Normal]"/>
        <w:spacing w:line="360" w:lineRule="auto"/>
        <w:ind w:firstLine="1134"/>
        <w:jc w:val="both"/>
        <w:rPr>
          <w:lang w:val="es-AR" w:eastAsia="es-AR" w:bidi="es-AR"/>
        </w:rPr>
      </w:pPr>
      <w:r>
        <w:rPr>
          <w:lang w:val="es-AR" w:eastAsia="es-AR" w:bidi="es-AR"/>
        </w:rPr>
        <w:t xml:space="preserve">1) Errónea determinación de la competencia material por desnaturalización de la pretensión deducida. </w:t>
      </w:r>
    </w:p>
    <w:p>
      <w:pPr>
        <w:pStyle w:val="[Normal]"/>
        <w:spacing w:line="360" w:lineRule="auto"/>
        <w:ind w:firstLine="1134"/>
        <w:jc w:val="both"/>
        <w:rPr>
          <w:lang w:val="es-AR" w:eastAsia="es-AR" w:bidi="es-AR"/>
        </w:rPr>
      </w:pPr>
      <w:r>
        <w:rPr>
          <w:lang w:val="es-AR" w:eastAsia="es-AR" w:bidi="es-AR"/>
        </w:rPr>
        <w:t xml:space="preserve">Al respecto, sostiene que el juez de grado definió la competencia a partir de la defensa mediante la cual la demandada cuestionó la razonabilidad y constitucionalidad de los Acuerdos 3103 y 3503 de la Suprema Corte, en lugar de atender a los hechos y al objeto de la demanda.  	Señala también que la acción promovida no persigue la impugnación, nulidad o inaplicabilidad de tales reglamentos, sino el cese de una práctica atribuida a un proveedor privado, la restitución de las sumas cobradas en exceso y la imposición de daño punitivo, dentro del marco de una relación de consumo. </w:t>
      </w:r>
    </w:p>
    <w:p>
      <w:pPr>
        <w:pStyle w:val="[Normal]"/>
        <w:spacing w:line="360" w:lineRule="auto"/>
        <w:ind w:firstLine="1134"/>
        <w:jc w:val="both"/>
        <w:rPr>
          <w:lang w:val="es-AR" w:eastAsia="es-AR" w:bidi="es-AR"/>
        </w:rPr>
      </w:pPr>
      <w:r>
        <w:rPr>
          <w:lang w:val="es-AR" w:eastAsia="es-AR" w:bidi="es-AR"/>
        </w:rPr>
        <w:t xml:space="preserve">Añade que la introducción incidental de una cuestión de derecho público por la accionada no puede modificar el objeto procesal ni desplazar al juez natural de la pretensión.</w:t>
      </w:r>
    </w:p>
    <w:p>
      <w:pPr>
        <w:pStyle w:val="[Normal]"/>
        <w:spacing w:line="360" w:lineRule="auto"/>
        <w:ind w:firstLine="1134"/>
        <w:jc w:val="both"/>
        <w:rPr>
          <w:lang w:val="es-AR" w:eastAsia="es-AR" w:bidi="es-AR"/>
        </w:rPr>
      </w:pPr>
      <w:r>
        <w:rPr>
          <w:lang w:val="es-AR" w:eastAsia="es-AR" w:bidi="es-AR"/>
        </w:rPr>
        <w:t xml:space="preserve">2) Incorrecta aplicación del régimen contencioso administrativo y desconocimiento de las reglas especiales de competencia en materia de consumo. </w:t>
      </w:r>
    </w:p>
    <w:p>
      <w:pPr>
        <w:pStyle w:val="[Normal]"/>
        <w:spacing w:line="360" w:lineRule="auto"/>
        <w:ind w:firstLine="1134"/>
        <w:jc w:val="both"/>
        <w:rPr>
          <w:lang w:val="es-AR" w:eastAsia="es-AR" w:bidi="es-AR"/>
        </w:rPr>
      </w:pPr>
      <w:r>
        <w:rPr>
          <w:lang w:val="es-AR" w:eastAsia="es-AR" w:bidi="es-AR"/>
        </w:rPr>
        <w:t xml:space="preserve">En respaldo de lo expuesto, afirma que no se configura ninguno de los supuestos previstos por la Ley 12.008, dado que la acción no se dirige contra un órgano estatal, no cuestiona una actuación u omisión administrativa, no procura la anulación de un acto de alcance general y tampoco involucra a un prestador de servicios públicos o concesionario de obra pública. </w:t>
      </w:r>
    </w:p>
    <w:p>
      <w:pPr>
        <w:pStyle w:val="[Normal]"/>
        <w:spacing w:line="360" w:lineRule="auto"/>
        <w:ind w:firstLine="1134"/>
        <w:jc w:val="both"/>
        <w:rPr>
          <w:lang w:val="es-AR" w:eastAsia="es-AR" w:bidi="es-AR"/>
        </w:rPr>
      </w:pPr>
      <w:r>
        <w:rPr>
          <w:lang w:val="es-AR" w:eastAsia="es-AR" w:bidi="es-AR"/>
        </w:rPr>
        <w:t xml:space="preserve">Argumenta que la demandada es una sociedad privada dedicada a la actividad periodística y que su habilitación para publicar edictos no la convierte en concesionaria ni transforma el vínculo con los anunciantes en una relación regida por el derecho administrativo. </w:t>
      </w:r>
    </w:p>
    <w:p>
      <w:pPr>
        <w:pStyle w:val="[Normal]"/>
        <w:spacing w:line="360" w:lineRule="auto"/>
        <w:ind w:firstLine="1134"/>
        <w:jc w:val="both"/>
        <w:rPr>
          <w:lang w:val="es-AR" w:eastAsia="es-AR" w:bidi="es-AR"/>
        </w:rPr>
      </w:pPr>
      <w:r>
        <w:rPr>
          <w:lang w:val="es-AR" w:eastAsia="es-AR" w:bidi="es-AR"/>
        </w:rPr>
        <w:t xml:space="preserve">En consecuencia, considera aplicable la regla establecida por la Ley 13.133, que atribuye al fuero civil y comercial el conocimiento de las acciones individuales o colectivas derivadas de relaciones de consumo. Agrega que los Acuerdos 3103 y 3503 constituyen únicamente el parámetro normativo para determinar la licitud de las tarifas cobradas, sin que su aplicación convierta la controversia privada en una causa contencioso administrativa.</w:t>
      </w:r>
    </w:p>
    <w:p>
      <w:pPr>
        <w:pStyle w:val="[Normal]"/>
        <w:spacing w:line="360" w:lineRule="auto"/>
        <w:ind w:firstLine="1134"/>
        <w:jc w:val="both"/>
        <w:rPr>
          <w:lang w:val="es-AR" w:eastAsia="es-AR" w:bidi="es-AR"/>
        </w:rPr>
      </w:pPr>
      <w:r>
        <w:rPr>
          <w:lang w:val="es-AR" w:eastAsia="es-AR" w:bidi="es-AR"/>
        </w:rPr>
        <w:t xml:space="preserve">3) Improcedencia de la condena en costas. </w:t>
      </w:r>
    </w:p>
    <w:p>
      <w:pPr>
        <w:pStyle w:val="[Normal]"/>
        <w:spacing w:line="360" w:lineRule="auto"/>
        <w:ind w:firstLine="1134"/>
        <w:jc w:val="both"/>
        <w:rPr>
          <w:lang w:val="es-AR" w:eastAsia="es-AR" w:bidi="es-AR"/>
        </w:rPr>
      </w:pPr>
      <w:r>
        <w:rPr>
          <w:lang w:val="es-AR" w:eastAsia="es-AR" w:bidi="es-AR"/>
        </w:rPr>
        <w:t xml:space="preserve">Subsidiariamente, sostiene que las costas deben dejarse sin efecto o imponerse en el orden causado, en atención a la complejidad y particularidad de la cuestión competencial debatida. Invoca, además, el beneficio de justicia gratuita reconocido a las asociaciones de consumidores que promueven acciones colectivas, por entender que dicho régimen impide trasladarle las consecuencias económicas del proceso.</w:t>
      </w:r>
    </w:p>
    <w:p>
      <w:pPr>
        <w:pStyle w:val="[Normal]"/>
        <w:spacing w:line="360" w:lineRule="auto"/>
        <w:ind w:firstLine="1134"/>
        <w:jc w:val="both"/>
        <w:rPr>
          <w:lang w:val="es-AR" w:eastAsia="es-AR" w:bidi="es-AR"/>
        </w:rPr>
      </w:pPr>
      <w:r>
        <w:rPr>
          <w:lang w:val="es-AR" w:eastAsia="es-AR" w:bidi="es-AR"/>
        </w:rPr>
        <w:t xml:space="preserve"> A su turno la contraparte rebate los puntos de agravios, solicitando se confirme la resolución  y se declare la incompetencia material del Juzgado Civil y Comercial Nº 1 y disponiendo la remisión de autos al Juzgado en lo Contencioso Administrativo Nº 1 departamental. Con costas a la actora. Hace reserva del caso federal (art. 14 Ley 48).  </w:t>
      </w:r>
    </w:p>
    <w:p>
      <w:pPr>
        <w:pStyle w:val="[Normal]"/>
        <w:spacing w:line="360" w:lineRule="auto"/>
        <w:ind w:firstLine="1134"/>
        <w:jc w:val="both"/>
        <w:rPr>
          <w:lang w:val="es-AR" w:eastAsia="es-AR" w:bidi="es-AR"/>
        </w:rPr>
      </w:pPr>
      <w:r>
        <w:rPr>
          <w:lang w:val="es-AR" w:eastAsia="es-AR" w:bidi="es-AR"/>
        </w:rPr>
        <w:t xml:space="preserve">La cuestión litigiosa sometida a revisión radica, en definitiva, en determinar la juridicidad del acogimiento de la excepción de incompetencia planteada por la parte demandada, fundada en que la controversia exige examinar la validez, razonabilidad y aplicabilidad de los Acuerdos 3103 y 3503 de la Suprema Corte provincial, dictados en ejercicio de funciones administrativas, circunstancia que -según sostiene- impondría la intervención del fuero contencioso administrativo y del Fiscal de Estado.</w:t>
      </w:r>
    </w:p>
    <w:p>
      <w:pPr>
        <w:pStyle w:val="[Normal]"/>
        <w:spacing w:line="360" w:lineRule="auto"/>
        <w:ind w:firstLine="1134"/>
        <w:jc w:val="both"/>
        <w:rPr>
          <w:lang w:val="es-AR" w:eastAsia="es-AR" w:bidi="es-AR"/>
        </w:rPr>
      </w:pPr>
      <w:r>
        <w:rPr>
          <w:lang w:val="es-AR" w:eastAsia="es-AR" w:bidi="es-AR"/>
        </w:rPr>
        <w:t xml:space="preserve">Sobre esa base, corresponde establecer si ese planteo defensivo posee aptitud para desplazar la competencia del fuero civil y comercial, pese a que la acción fue promovida por una asociación de consumidores contra una sociedad privada, con el objeto de obtener el cese del cobro de tarifas superiores a las reglamentariamente autorizadas, la restitución de lo percibido en exceso y la aplicación de daño punitivo; o si, por el contrario, los citados acuerdos operan únicamente como parámetro normativo de la conducta atribuida al proveedor, sin alterar la naturaleza consumeril y privada de la relación litigiosa.</w:t>
      </w:r>
    </w:p>
    <w:p>
      <w:pPr>
        <w:pStyle w:val="[Normal]"/>
        <w:spacing w:line="360" w:lineRule="auto"/>
        <w:ind w:firstLine="1134"/>
        <w:jc w:val="both"/>
        <w:rPr>
          <w:lang w:val="es-AR" w:eastAsia="es-AR" w:bidi="es-AR"/>
        </w:rPr>
      </w:pPr>
      <w:r>
        <w:rPr>
          <w:lang w:val="es-AR" w:eastAsia="es-AR" w:bidi="es-AR"/>
        </w:rPr>
        <w:t xml:space="preserve">Asimismo, y con carácter subsidiario, deberá examinarse la procedencia de la condena en costas impuesta a la actora, atendiendo al resultado de la incidencia, a la complejidad de la cuestión debatida y al alcance del beneficio de justicia gratuita invocado.</w:t>
      </w:r>
    </w:p>
    <w:p>
      <w:pPr>
        <w:pStyle w:val="[Normal]"/>
        <w:spacing w:line="360" w:lineRule="auto"/>
        <w:ind w:firstLine="1134"/>
        <w:jc w:val="both"/>
        <w:rPr>
          <w:lang w:val="es-AR" w:eastAsia="es-AR" w:bidi="es-AR"/>
        </w:rPr>
      </w:pPr>
      <w:r>
        <w:rPr>
          <w:lang w:val="es-AR" w:eastAsia="es-AR" w:bidi="es-AR"/>
        </w:rPr>
        <w:t xml:space="preserve">Como derivación práctica de lo expuesto, la metodología para delimitar la cuestión litigiosa sometida a revisión debe partir de identificar cuál es, en términos jurídicos precisos, la decisión apelada cuya validez corresponde controlar y cuál fue el fundamento determinante de su adopción. A partir de allí, debe reconstruirse el núcleo de la controversia recursiva, confrontando ese fundamento con la naturaleza de la pretensión, la relación jurídica sustancial debatida, las defensas introducidas por las partes y las normas que gobiernan la materia, a fin de establecer si la solución impugnada se ajusta a derecho. Finalmente, deben individualizarse, en forma diferenciada, las cuestiones subsidiarias o accesorias cuyo tratamiento dependa de la respuesta que se brinde al problema principal.</w:t>
      </w:r>
    </w:p>
    <w:p>
      <w:pPr>
        <w:pStyle w:val="[Normal]"/>
        <w:spacing w:line="360" w:lineRule="auto"/>
        <w:ind w:firstLine="1134"/>
        <w:jc w:val="both"/>
        <w:rPr>
          <w:color w:val="000000"/>
          <w:lang w:val="es-AR" w:eastAsia="es-AR" w:bidi="es-AR"/>
        </w:rPr>
      </w:pPr>
      <w:r>
        <w:rPr>
          <w:lang w:val="es-AR" w:eastAsia="es-AR" w:bidi="es-AR"/>
        </w:rPr>
        <w:t xml:space="preserve">Con carácter preliminar, conviene efectuar algunas consideraciones generales sobre la competencia judicial en tanto epicentro jurídico-conceptual en torna a la cual se debate la cuestión en examen.</w:t>
        <w:br w:type="textWrapping"/>
      </w:r>
      <w:r>
        <w:rPr>
          <w:lang w:val="es-AR" w:eastAsia="es-AR" w:bidi="es-AR"/>
        </w:rPr>
        <w:t xml:space="preserve"> 	En este sentido, no es ocioso referir que </w:t>
      </w:r>
      <w:r>
        <w:rPr>
          <w:color w:val="000000"/>
          <w:lang w:val="es-AR" w:eastAsia="es-AR" w:bidi="es-AR"/>
        </w:rPr>
        <w:t xml:space="preserve">el término </w:t>
      </w:r>
      <w:r>
        <w:rPr>
          <w:i/>
          <w:color w:val="000000"/>
          <w:lang w:val="es-AR" w:eastAsia="es-AR" w:bidi="es-AR"/>
        </w:rPr>
        <w:t xml:space="preserve">“competencia judicial”</w:t>
      </w:r>
      <w:r>
        <w:rPr>
          <w:color w:val="000000"/>
          <w:lang w:val="es-AR" w:eastAsia="es-AR" w:bidi="es-AR"/>
        </w:rPr>
        <w:t xml:space="preserve"> hace alusión a las reglas destinadas a atribuir a un determinado órgano de la jurisdicción del Poder Judicial el conocimiento de un caso particular.	</w:t>
        <w:br w:type="textWrapping"/>
      </w:r>
      <w:r>
        <w:rPr>
          <w:color w:val="000000"/>
          <w:lang w:val="es-AR" w:eastAsia="es-AR" w:bidi="es-AR"/>
        </w:rPr>
        <w:t xml:space="preserve"> 	Desde la perspectiva del sujeto, la competencia se define como la aptitud del juez para ejercer su jurisdicción en un caso concreto. Comprende a todos los poderes inherentes a la función judicial, ya sea que se vinculen a la cognición o ejecución (</w:t>
      </w:r>
      <w:r>
        <w:rPr>
          <w:lang w:val="es-AR" w:eastAsia="es-AR" w:bidi="es-AR"/>
        </w:rPr>
        <w:t xml:space="preserve">PALACIO, Derecho Procesal Civil, vol. II, p. 373, nro. 163).	</w:t>
        <w:br w:type="textWrapping"/>
      </w:r>
      <w:r>
        <w:rPr>
          <w:lang w:val="es-AR" w:eastAsia="es-AR" w:bidi="es-AR"/>
        </w:rPr>
        <w:t xml:space="preserve"> </w:t>
      </w:r>
      <w:r>
        <w:rPr>
          <w:color w:val="000000"/>
          <w:lang w:val="es-AR" w:eastAsia="es-AR" w:bidi="es-AR"/>
        </w:rPr>
        <w:t xml:space="preserve"> 	Desde un plano objetivo, la competencia se perfila como un presupuesto liminar del proceso judicial, que inviste al magistrado considerado como competente con el deber y el derecho de administrar justicia en el caso concreto con exclusión de todo otro órgano jurisdiccional (</w:t>
      </w:r>
      <w:r>
        <w:rPr>
          <w:lang w:val="es-AR" w:eastAsia="es-AR" w:bidi="es-AR"/>
        </w:rPr>
        <w:t xml:space="preserve">PRIETO CASTRO, Derecho Procesal Civil, 1964, vol. 1, nro. 142, pag. 210)</w:t>
      </w:r>
      <w:r>
        <w:rPr>
          <w:color w:val="000000"/>
          <w:lang w:val="es-AR" w:eastAsia="es-AR" w:bidi="es-AR"/>
        </w:rPr>
        <w:t xml:space="preserve">.	</w:t>
        <w:br w:type="textWrapping"/>
      </w:r>
      <w:r>
        <w:rPr>
          <w:color w:val="000000"/>
          <w:lang w:val="es-AR" w:eastAsia="es-AR" w:bidi="es-AR"/>
        </w:rPr>
        <w:t xml:space="preserve"> 	De este modo, los jueces ejercen su jurisdicción en la medida de su competencia, y es precisamente esta la que fija los límites dentro de los cuales el órgano jurisdiccional puede ejercer sus atribuciones funcionales propias.	</w:t>
        <w:br w:type="textWrapping"/>
      </w:r>
      <w:r>
        <w:rPr>
          <w:color w:val="000000"/>
          <w:lang w:val="es-AR" w:eastAsia="es-AR" w:bidi="es-AR"/>
        </w:rPr>
        <w:t xml:space="preserve"> 	Esta función delimitadora explica que la competencia no pueda ser concebida como una mera regla de distribución administrativa del trabajo judicial.  	 </w:t>
        <w:br w:type="textWrapping"/>
      </w:r>
      <w:r>
        <w:rPr>
          <w:color w:val="000000"/>
          <w:lang w:val="es-AR" w:eastAsia="es-AR" w:bidi="es-AR"/>
        </w:rPr>
        <w:t xml:space="preserve"> 	Si bien cumple una finalidad organizativa, su relevancia excede ese plano interno, pues se vincula directamente con la garantía del juez natural, la seguridad jurídica, la igualdad de las partes frente al proceso y la eficacia de la tutela judicial. La determinación del órgano competente permite, entonces, asegurar que la pretensión sea conocida por el juez legalmente habilitado para resolverla, de acuerdo con criterios previamente establecidos por el ordenamiento jurídico.	</w:t>
        <w:br w:type="textWrapping"/>
      </w:r>
      <w:r>
        <w:rPr>
          <w:color w:val="000000"/>
          <w:lang w:val="es-AR" w:eastAsia="es-AR" w:bidi="es-AR"/>
        </w:rPr>
        <w:t xml:space="preserve">	La Corte bonaerense ha resaltado el fundamento de orden público procesal de la competencia legal en tanto regla establecida por el legislador con el fin de organizar una buena administración de justicia. Como consecuencia lógica de lo expuesto, ha dicho que: </w:t>
      </w:r>
      <w:r>
        <w:rPr>
          <w:i/>
          <w:color w:val="000000"/>
          <w:lang w:val="es-AR" w:eastAsia="es-AR" w:bidi="es-AR"/>
        </w:rPr>
        <w:t xml:space="preserve">"No es permitido dejarlas sin efecto o modificarlas por la simple voluntad de las partes, pues el art. 21 del CCiv. establece que las convenciones particulares no pueden derogar las leyes en cuya observancia están interesados el orden público y las buenas costumbres. Por tanto, los litigantes no pueden convenir en debatir ante los jueces del crimen sus conflictos de intereses, ni someterlos directamente a una cámara de Apelación prescindiendo de los Juzgados de primera instancia, ni acudir a los tribunales ordinarios con gestiones del resorte de la justicia de paz o federal, o viceversa" </w:t>
      </w:r>
      <w:r>
        <w:rPr>
          <w:lang w:val="es-AR" w:eastAsia="es-AR" w:bidi="es-AR"/>
        </w:rPr>
        <w:t xml:space="preserve">(SCBA, 1965-I-39; C 1° Mar del Plata, LL 141-107 y C.Civ.Com. Mercedes, causa 1276, DJBA 122-186) </w:t>
      </w:r>
      <w:r>
        <w:rPr>
          <w:i/>
          <w:color w:val="000000"/>
          <w:lang w:val="es-AR" w:eastAsia="es-AR" w:bidi="es-AR"/>
        </w:rPr>
        <w:t xml:space="preserve">	</w:t>
      </w:r>
      <w:r>
        <w:rPr>
          <w:color w:val="000000"/>
          <w:lang w:val="es-AR" w:eastAsia="es-AR" w:bidi="es-AR"/>
        </w:rPr>
        <w:t xml:space="preserve"> </w:t>
      </w:r>
    </w:p>
    <w:p>
      <w:pPr>
        <w:pStyle w:val="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s>
        <w:spacing w:line="360" w:lineRule="auto"/>
        <w:jc w:val="both"/>
        <w:rPr>
          <w:rFonts w:ascii="Arial" w:hAnsi="Arial" w:eastAsia="Arial" w:cs="Arial"/>
          <w:color w:val="000000"/>
          <w:lang w:val="es-AR" w:eastAsia="es-AR" w:bidi="es-AR"/>
        </w:rPr>
      </w:pPr>
      <w:r>
        <w:rPr>
          <w:rFonts w:ascii="Arial" w:hAnsi="Arial" w:eastAsia="Arial" w:cs="Arial"/>
          <w:color w:val="000000"/>
          <w:lang w:val="es-AR" w:eastAsia="es-AR" w:bidi="es-AR"/>
        </w:rPr>
        <w:t xml:space="preserve"> 	La competencia judicial no se determina a partir de un criterio único, sino mediante la concurrencia de diversas pautas atributivas que permiten individualizar el órgano jurisdiccional llamado a intervenir en un caso concreto.	</w:t>
        <w:br w:type="textWrapping"/>
      </w:r>
      <w:r>
        <w:rPr>
          <w:rFonts w:ascii="Arial" w:hAnsi="Arial" w:eastAsia="Arial" w:cs="Arial"/>
          <w:color w:val="000000"/>
          <w:lang w:val="es-AR" w:eastAsia="es-AR" w:bidi="es-AR"/>
        </w:rPr>
        <w:t xml:space="preserve"> 	Tradicionalmente, la doctrina procesal ha distinguido la competencia por razón de la materia, del territorio, del grado, del turno y de la conexión, clasificación que conserva plena utilidad práctica para ordenar el análisis inicial de toda pretensión judicial (</w:t>
      </w:r>
      <w:r>
        <w:rPr>
          <w:rFonts w:ascii="Arial" w:hAnsi="Arial" w:eastAsia="Arial" w:cs="Arial"/>
          <w:lang w:val="es-AR" w:eastAsia="es-AR" w:bidi="es-AR"/>
        </w:rPr>
        <w:t xml:space="preserve">MORELLO, Augusto M.; SOSA, Gualberto L.; BERIZONCE, Roberto O., </w:t>
      </w:r>
      <w:r>
        <w:rPr>
          <w:rStyle w:val="Emphasis"/>
          <w:rFonts w:ascii="Arial" w:hAnsi="Arial" w:eastAsia="Arial" w:cs="Arial"/>
          <w:lang w:val="es-AR" w:eastAsia="es-AR" w:bidi="es-AR"/>
        </w:rPr>
        <w:t xml:space="preserve">Códigos Procesales en lo Civil y Comercial de la Provincia de Buenos Aires y de la Nación. Comentados y anotados</w:t>
      </w:r>
      <w:r>
        <w:rPr>
          <w:rFonts w:ascii="Arial" w:hAnsi="Arial" w:eastAsia="Arial" w:cs="Arial"/>
          <w:lang w:val="es-AR" w:eastAsia="es-AR" w:bidi="es-AR"/>
        </w:rPr>
        <w:t xml:space="preserve">, Librería Editora Platense - Abeledo-Perrot, Buenos Aires, t. II-A, comentario a los arts. 1 a 6 del CPCCBA).	</w:t>
      </w:r>
      <w:r>
        <w:rPr>
          <w:lang w:val="es-AR" w:eastAsia="es-AR" w:bidi="es-AR"/>
        </w:rPr>
        <w:br w:type="textWrapping"/>
      </w:r>
      <w:r>
        <w:rPr>
          <w:rFonts w:ascii="Arial" w:hAnsi="Arial" w:eastAsia="Arial" w:cs="Arial"/>
          <w:color w:val="000000"/>
          <w:lang w:val="es-AR" w:eastAsia="es-AR" w:bidi="es-AR"/>
        </w:rPr>
        <w:t xml:space="preserve"> 	 La competencia por razón de la materia -que es la que aquí nos incumbe- atiende a la naturaleza jurídica de la pretensión deducida y al sector del ordenamiento comprometido en el conflicto. Así, no es indiferente que el litigio verse sobre una relación civil, comercial, familiar, contencioso administrativa, laboral, penal o de otra índole, pues la organización judicial distribuye el conocimiento de los asuntos según criterios de especialidad. 	 	Esta pauta reviste particular importancia porque, en principio, no se encuentra librada a la voluntad de las partes. De allí que la calificación jurídica de la pretensión, efectuada a partir de los hechos narrados en la demanda y del objeto perseguido, constituye una operación liminar para determinar el juez competente. 	</w:t>
        <w:br w:type="textWrapping"/>
      </w:r>
      <w:r>
        <w:rPr>
          <w:rFonts w:ascii="Arial" w:hAnsi="Arial" w:eastAsia="Arial" w:cs="Arial"/>
          <w:color w:val="000000"/>
          <w:lang w:val="es-AR" w:eastAsia="es-AR" w:bidi="es-AR"/>
        </w:rPr>
        <w:t xml:space="preserve"> 	Como enseña Palacio, la competencia por materia responde a la necesidad de distribuir las causas entre órganos especializados en razón de la índole del conflicto sometido a decisión (</w:t>
      </w:r>
      <w:r>
        <w:rPr>
          <w:rFonts w:ascii="Arial" w:hAnsi="Arial" w:eastAsia="Arial" w:cs="Arial"/>
          <w:lang w:val="es-AR" w:eastAsia="es-AR" w:bidi="es-AR"/>
        </w:rPr>
        <w:t xml:space="preserve">PALACIO, Lino Enrique, </w:t>
      </w:r>
      <w:r>
        <w:rPr>
          <w:rStyle w:val="Emphasis"/>
          <w:rFonts w:ascii="Arial" w:hAnsi="Arial" w:eastAsia="Arial" w:cs="Arial"/>
          <w:lang w:val="es-AR" w:eastAsia="es-AR" w:bidi="es-AR"/>
        </w:rPr>
        <w:t xml:space="preserve">Derecho Procesal Civil</w:t>
      </w:r>
      <w:r>
        <w:rPr>
          <w:rFonts w:ascii="Arial" w:hAnsi="Arial" w:eastAsia="Arial" w:cs="Arial"/>
          <w:lang w:val="es-AR" w:eastAsia="es-AR" w:bidi="es-AR"/>
        </w:rPr>
        <w:t xml:space="preserve">, t. II, Abeledo-Perrot, Buenos Aires, ps. 366 y ss). 	</w:t>
      </w:r>
      <w:r>
        <w:rPr>
          <w:lang w:val="es-AR" w:eastAsia="es-AR" w:bidi="es-AR"/>
        </w:rPr>
        <w:br w:type="textWrapping"/>
      </w:r>
      <w:r>
        <w:rPr>
          <w:rFonts w:ascii="Arial" w:hAnsi="Arial" w:eastAsia="Arial" w:cs="Arial"/>
          <w:color w:val="000000"/>
          <w:lang w:val="es-AR" w:eastAsia="es-AR" w:bidi="es-AR"/>
        </w:rPr>
        <w:t xml:space="preserve"> 	La delimitación</w:t>
      </w:r>
      <w:r>
        <w:rPr>
          <w:rFonts w:ascii="Arial" w:hAnsi="Arial" w:eastAsia="Arial" w:cs="Arial"/>
          <w:b/>
          <w:color w:val="000000"/>
          <w:lang w:val="es-AR" w:eastAsia="es-AR" w:bidi="es-AR"/>
        </w:rPr>
        <w:t xml:space="preserve"> </w:t>
      </w:r>
      <w:r>
        <w:rPr>
          <w:rFonts w:ascii="Arial" w:hAnsi="Arial" w:eastAsia="Arial" w:cs="Arial"/>
          <w:color w:val="000000"/>
          <w:lang w:val="es-AR" w:eastAsia="es-AR" w:bidi="es-AR"/>
        </w:rPr>
        <w:t xml:space="preserve">inicial de la competencia exige una operación de encuadre jurídico que debe efectuarse, en principio, a partir de los hechos expuestos en la demanda y de la pretensión concretamente deducida. No se trata todavía de decidir la fundabilidad del reclamo, ni de anticipar una solución sobre el mérito de la controversia, sino de establecer si, según el modo en que el conflicto ha sido introducido al proceso, el órgano jurisdiccional ante el cual se promovió la acción se encuentra legalmente habilitado para conocer en ella.</w:t>
      </w:r>
    </w:p>
    <w:p>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ascii="Arial" w:hAnsi="Arial" w:eastAsia="Arial" w:cs="Arial"/>
          <w:color w:val="000000"/>
          <w:lang w:val="es-AR" w:eastAsia="es-AR" w:bidi="es-AR"/>
        </w:rPr>
      </w:pPr>
      <w:r>
        <w:rPr>
          <w:rFonts w:ascii="Arial" w:hAnsi="Arial" w:eastAsia="Arial" w:cs="Arial"/>
          <w:color w:val="000000"/>
          <w:lang w:val="es-AR" w:eastAsia="es-AR" w:bidi="es-AR"/>
        </w:rPr>
        <w:t xml:space="preserve"> 	El CPCCBA proporciona una pauta expresa en este sentido. El art. 4 dispone que toda demanda debe interponerse ante juez competente y agrega que, </w:t>
      </w:r>
      <w:r>
        <w:rPr>
          <w:rFonts w:ascii="Arial" w:hAnsi="Arial" w:eastAsia="Arial" w:cs="Arial"/>
          <w:i/>
          <w:color w:val="000000"/>
          <w:lang w:val="es-AR" w:eastAsia="es-AR" w:bidi="es-AR"/>
        </w:rPr>
        <w:t xml:space="preserve">“si de la exposición de los hechos resultare no ser de la competencia del juez ante quien se deduce, deberá dicho juez inhibirse de oficio”</w:t>
      </w:r>
      <w:r>
        <w:rPr>
          <w:rFonts w:ascii="Arial" w:hAnsi="Arial" w:eastAsia="Arial" w:cs="Arial"/>
          <w:color w:val="000000"/>
          <w:lang w:val="es-AR" w:eastAsia="es-AR" w:bidi="es-AR"/>
        </w:rPr>
        <w:t xml:space="preserve">. La norma revela dos ideas centrales, la primera es que la competencia constituye un examen inicial que el magistrado debe realizar aun sin petición de parte cuando la incompetencia surge manifiesta. La segunda es que ese examen debe construirse sobre la exposición fáctica contenida en el escrito inicial, es decir, sobre el relato de los hechos y el objeto procesal propuesto por quien acciona.</w:t>
      </w:r>
    </w:p>
    <w:p>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ascii="Arial" w:hAnsi="Arial" w:eastAsia="Arial" w:cs="Arial"/>
          <w:color w:val="000000"/>
          <w:lang w:val="es-AR" w:eastAsia="es-AR" w:bidi="es-AR"/>
        </w:rPr>
      </w:pPr>
      <w:r>
        <w:rPr>
          <w:rFonts w:ascii="Arial" w:hAnsi="Arial" w:eastAsia="Arial" w:cs="Arial"/>
          <w:color w:val="000000"/>
          <w:lang w:val="es-AR" w:eastAsia="es-AR" w:bidi="es-AR"/>
        </w:rPr>
        <w:t xml:space="preserve"> 	Esta regla se vincula, a su vez, con los requisitos de la demanda previstos en el art. 330 del CPCCBA. La individualización de la cosa demandada, la exposición clara de los hechos en que se funda la acción y la petición formulada en términos precisos no sólo delimitan el objeto litigioso y el alcance de la defensa, sino que también permiten identificar el juez competente. De allí que la competencia no pueda definirse exclusivamente por la denominación formal asignada a la acción, por el rótulo utilizado en la carátula o por la cita normativa escogida por la parte, sino por la sustancia jurídica del conflicto tal como surge de los hechos relatados y de la tutela jurisdiccional requerida.</w:t>
      </w:r>
    </w:p>
    <w:p>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lang w:val="es-AR" w:eastAsia="es-AR" w:bidi="es-AR"/>
        </w:rPr>
      </w:pPr>
      <w:r>
        <w:rPr>
          <w:rFonts w:ascii="Arial" w:hAnsi="Arial" w:eastAsia="Arial" w:cs="Arial"/>
          <w:color w:val="000000"/>
          <w:lang w:val="es-AR" w:eastAsia="es-AR" w:bidi="es-AR"/>
        </w:rPr>
        <w:t xml:space="preserve"> 	La doctrina ha destacado que la competencia se determina atendiendo a la naturaleza de la pretensión y no a la eventual procedencia del derecho invocado. Lo decisivo es la índole del asunto sometido a decisión, pues de ella depende la atribución del conocimiento a un determinado órgano judicial (</w:t>
      </w:r>
      <w:r>
        <w:rPr>
          <w:rFonts w:ascii="Arial" w:hAnsi="Arial" w:eastAsia="Arial" w:cs="Arial"/>
          <w:lang w:val="es-AR" w:eastAsia="es-AR" w:bidi="es-AR"/>
        </w:rPr>
        <w:t xml:space="preserve">PODETTI, J. Ramiro, </w:t>
      </w:r>
      <w:r>
        <w:rPr>
          <w:rStyle w:val="Emphasis"/>
          <w:rFonts w:ascii="Arial" w:hAnsi="Arial" w:eastAsia="Arial" w:cs="Arial"/>
          <w:lang w:val="es-AR" w:eastAsia="es-AR" w:bidi="es-AR"/>
        </w:rPr>
        <w:t xml:space="preserve">Tratado de la competencia</w:t>
      </w:r>
      <w:r>
        <w:rPr>
          <w:rFonts w:ascii="Arial" w:hAnsi="Arial" w:eastAsia="Arial" w:cs="Arial"/>
          <w:lang w:val="es-AR" w:eastAsia="es-AR" w:bidi="es-AR"/>
        </w:rPr>
        <w:t xml:space="preserve">, Ediar, Buenos Aires, 1973, págs. 455/467).</w:t>
      </w:r>
    </w:p>
    <w:p>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ascii="Arial" w:hAnsi="Arial" w:eastAsia="Arial" w:cs="Arial"/>
          <w:color w:val="000000"/>
          <w:lang w:val="es-AR" w:eastAsia="es-AR" w:bidi="es-AR"/>
        </w:rPr>
      </w:pPr>
      <w:r>
        <w:rPr>
          <w:rFonts w:ascii="Arial" w:hAnsi="Arial" w:eastAsia="Arial" w:cs="Arial"/>
          <w:color w:val="000000"/>
          <w:lang w:val="es-AR" w:eastAsia="es-AR" w:bidi="es-AR"/>
        </w:rPr>
        <w:t xml:space="preserve">  	Esta distinción resulta especialmente relevante en los supuestos en los que la pretensión aparece formalmente encuadrada en una figura perteneciente a un fuero particular, pero su objeto concreto se proyecta sobre una materia atribuida legalmente a otro órgano.	</w:t>
        <w:br w:type="textWrapping"/>
      </w:r>
      <w:r>
        <w:rPr>
          <w:rFonts w:ascii="Arial" w:hAnsi="Arial" w:eastAsia="Arial" w:cs="Arial"/>
          <w:color w:val="000000"/>
          <w:lang w:val="es-AR" w:eastAsia="es-AR" w:bidi="es-AR"/>
        </w:rPr>
        <w:t xml:space="preserve"> 	 Así, una acción presentada como simulación, nulidad o rectificación instrumental puede quedar comprendida en la competencia del fuero de familia si lo que en realidad se procura decidir es el carácter propio o ganancial de un bien dentro de una liquidación del régimen patrimonial matrimonial. Del mismo modo, una medida presentada como urgente o autosatisfactiva no queda automáticamente comprendida en la competencia de la Justicia de Paz si, por su contenido y efectos, importa una decisión definitiva sobre inscripción de nacimientos, nombre, estado civil o registraciones, materias asignadas por el art. 827 inc. p del CPCCBA a los Juzgados de Familia.</w:t>
      </w:r>
    </w:p>
    <w:p>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lang w:val="es-AR" w:eastAsia="es-AR" w:bidi="es-AR"/>
        </w:rPr>
      </w:pPr>
      <w:r>
        <w:rPr>
          <w:rFonts w:ascii="Arial" w:hAnsi="Arial" w:eastAsia="Arial" w:cs="Arial"/>
          <w:color w:val="000000"/>
          <w:lang w:val="es-AR" w:eastAsia="es-AR" w:bidi="es-AR"/>
        </w:rPr>
        <w:t xml:space="preserve"> 	Por ello, la calificación jurídica inicial no se agota en reproducir la categoría procesal utilizada por la parte actora. El juez debe analizar el contenido de la pretensión, los hechos jurídicamente relevantes y los efectos que se persiguen con la decisión requerida. Esta tarea no vulnera el principio dispositivo ni importa sustituir la voluntad de quien demanda; antes bien, responde al deber judicial de encauzar el proceso ante el órgano legalmente competente. En ese plano, el principio </w:t>
      </w:r>
      <w:r>
        <w:rPr>
          <w:rFonts w:ascii="Arial" w:hAnsi="Arial" w:eastAsia="Arial" w:cs="Arial"/>
          <w:i/>
          <w:color w:val="000000"/>
          <w:lang w:val="es-AR" w:eastAsia="es-AR" w:bidi="es-AR"/>
        </w:rPr>
        <w:t xml:space="preserve">“iura novit curia”</w:t>
      </w:r>
      <w:r>
        <w:rPr>
          <w:rFonts w:ascii="Arial" w:hAnsi="Arial" w:eastAsia="Arial" w:cs="Arial"/>
          <w:color w:val="000000"/>
          <w:lang w:val="es-AR" w:eastAsia="es-AR" w:bidi="es-AR"/>
        </w:rPr>
        <w:t xml:space="preserve"> permite al magistrado otorgar a los hechos la calificación jurídica que corresponda, siempre que no altere la plataforma fáctica ni modifique el objeto sustancial de la pretensión.	</w:t>
        <w:br w:type="textWrapping"/>
      </w:r>
      <w:r>
        <w:rPr>
          <w:rFonts w:ascii="Arial" w:hAnsi="Arial" w:eastAsia="Arial" w:cs="Arial"/>
          <w:color w:val="000000"/>
          <w:lang w:val="es-AR" w:eastAsia="es-AR" w:bidi="es-AR"/>
        </w:rPr>
        <w:t xml:space="preserve"> 		</w:t>
      </w:r>
      <w:r>
        <w:rPr>
          <w:rFonts w:ascii="Arial" w:hAnsi="Arial" w:eastAsia="Arial" w:cs="Arial"/>
          <w:lang w:val="es-AR" w:eastAsia="es-AR" w:bidi="es-AR"/>
        </w:rPr>
        <w:t xml:space="preserve">I.- Ingresando al tratamiento del primer agravio, adelanto que no habrá de prosperar.	</w:t>
        <w:br w:type="textWrapping"/>
      </w:r>
      <w:r>
        <w:rPr>
          <w:rFonts w:ascii="Arial" w:hAnsi="Arial" w:eastAsia="Arial" w:cs="Arial"/>
          <w:lang w:val="es-AR" w:eastAsia="es-AR" w:bidi="es-AR"/>
        </w:rPr>
        <w:t xml:space="preserve"> 		La recurrente sostiene que el juez de grado desnaturalizó la pretensión al definir la competencia a partir de la defensa mediante la cual la demandada cuestionó la razonabilidad y constitucionalidad de los Acuerdos 3103 y 3503 de la Suprema Corte. Afirma que la acción no persigue la impugnación de esos reglamentos, sino el cese de una práctica atribuida a un proveedor privado, la restitución de las sumas cobradas en exceso y la aplicación de daño punitivo dentro de una relación de consumo.</w:t>
      </w:r>
    </w:p>
    <w:p>
      <w:pPr>
        <w:pStyle w:val="[Normal]"/>
        <w:spacing w:line="360" w:lineRule="auto"/>
        <w:ind w:firstLine="1134"/>
        <w:jc w:val="both"/>
        <w:rPr>
          <w:lang w:val="es-AR" w:eastAsia="es-AR" w:bidi="es-AR"/>
        </w:rPr>
      </w:pPr>
      <w:r>
        <w:rPr>
          <w:lang w:val="es-AR" w:eastAsia="es-AR" w:bidi="es-AR"/>
        </w:rPr>
        <w:t xml:space="preserve">El planteo parte de una premisa atendible, aunque extrae de ella una consecuencia que no comparto. La competencia debe establecerse, en principio, de acuerdo con los hechos expuestos en la demanda, la naturaleza de la relación jurídica sustancial y los efectos concretos de la tutela requerida. Sin embargo, esa directriz no impone aceptar sin más la calificación jurídica propuesta por la accionante, pues corresponde atender a la sustancia del conflicto y a la fuente inmediata de las obligaciones cuyo cumplimiento se reclama, sin que ello importe modificar la plataforma fáctica ni sustituir el objeto procesal.</w:t>
      </w:r>
    </w:p>
    <w:p>
      <w:pPr>
        <w:pStyle w:val="[Normal]"/>
        <w:spacing w:line="360" w:lineRule="auto"/>
        <w:ind w:firstLine="1134"/>
        <w:jc w:val="both"/>
        <w:rPr>
          <w:lang w:val="es-AR" w:eastAsia="es-AR" w:bidi="es-AR"/>
        </w:rPr>
      </w:pPr>
      <w:r>
        <w:rPr>
          <w:lang w:val="es-AR" w:eastAsia="es-AR" w:bidi="es-AR"/>
        </w:rPr>
        <w:t xml:space="preserve">Desde esa perspectiva, la dimensión jurídico-pública de la controversia no fue incorporada exclusivamente por la defensa de la demandada. La propia actora estructuró su reclamo sobre la afirmación de que los Acuerdos 3103 y 3503 imponen a los diarios habilitados una tarifa obligatoria y que todo cobro efectuado por encima del límite allí previsto resulta ilegal. Sobre ese presupuesto solicita el cese de la conducta, la restitución de las sumas percibidas en exceso y la imposición de daño punitivo. La existencia, contenido y extensión del deber cuya transgresión se denuncia dependen, por tanto, del alcance y eficacia de reglamentos dictados por la Suprema Corte en ejercicio de atribuciones administrativas.</w:t>
      </w:r>
    </w:p>
    <w:p>
      <w:pPr>
        <w:pStyle w:val="[Normal]"/>
        <w:spacing w:line="360" w:lineRule="auto"/>
        <w:ind w:firstLine="1134"/>
        <w:jc w:val="both"/>
        <w:rPr>
          <w:lang w:val="es-AR" w:eastAsia="es-AR" w:bidi="es-AR"/>
        </w:rPr>
      </w:pPr>
      <w:r>
        <w:rPr>
          <w:lang w:val="es-AR" w:eastAsia="es-AR" w:bidi="es-AR"/>
        </w:rPr>
        <w:t xml:space="preserve">Los acuerdos invocados no operan entonces como una referencia normativa secundaria o accesoria. Constituyen la fuente directa del límite tarifario que la actora pretende hacer cumplir y proporcionan el parámetro indispensable para determinar tanto la ilicitud de la conducta imputada como la cuantía de las restituciones reclamadas. La resolución del conflicto exige establecer si ese régimen resulta obligatorio para el diario, cuál es su alcance actual y qué consecuencias jurídicas produce su eventual inobservancia.</w:t>
      </w:r>
    </w:p>
    <w:p>
      <w:pPr>
        <w:pStyle w:val="[Normal]"/>
        <w:spacing w:line="360" w:lineRule="auto"/>
        <w:ind w:firstLine="1134"/>
        <w:jc w:val="both"/>
        <w:rPr>
          <w:lang w:val="es-AR" w:eastAsia="es-AR" w:bidi="es-AR"/>
        </w:rPr>
      </w:pPr>
      <w:r>
        <w:rPr>
          <w:lang w:val="es-AR" w:eastAsia="es-AR" w:bidi="es-AR"/>
        </w:rPr>
        <w:t xml:space="preserve">A ello se suma un aspecto de la pretensión que confirma la inserción administrativa del asunto. La actora no limita su petición a obtener una condena patrimonial o una orden de cese en favor de los consumidores, sino que solicita expresamente que la sentencia sea comunicada a la Secretaría General de la Suprema Corte, en los términos del Acuerdo 3103, para que el Tribunal ejerza la potestad sancionatoria que pudiera corresponder respecto del medio habilitado.</w:t>
      </w:r>
    </w:p>
    <w:p>
      <w:pPr>
        <w:pStyle w:val="[Normal]"/>
        <w:spacing w:line="360" w:lineRule="auto"/>
        <w:ind w:firstLine="1134"/>
        <w:jc w:val="both"/>
        <w:rPr>
          <w:lang w:val="es-AR" w:eastAsia="es-AR" w:bidi="es-AR"/>
        </w:rPr>
      </w:pPr>
      <w:r>
        <w:rPr>
          <w:lang w:val="es-AR" w:eastAsia="es-AR" w:bidi="es-AR"/>
        </w:rPr>
        <w:t xml:space="preserve">Ciertamente, esa petición no importa que el órgano judicial interviniente deba imponer por sí mismo la sanción administrativa. No obstante, revela que uno de los efectos institucionales perseguidos consiste en activar el mecanismo de fiscalización y sanción previsto por el propio régimen reglamentario. La actuación atribuida al diario no es presentada únicamente como un incumplimiento contractual frente a los anunciantes, sino también como una infracción a las condiciones administrativas bajo las cuales fue incorporado y permanece en el registro de órganos autorizados para publicar edictos.</w:t>
      </w:r>
    </w:p>
    <w:p>
      <w:pPr>
        <w:pStyle w:val="[Normal]"/>
        <w:spacing w:line="360" w:lineRule="auto"/>
        <w:ind w:firstLine="1134"/>
        <w:jc w:val="both"/>
        <w:rPr>
          <w:lang w:val="es-AR" w:eastAsia="es-AR" w:bidi="es-AR"/>
        </w:rPr>
      </w:pPr>
      <w:r>
        <w:rPr>
          <w:lang w:val="es-AR" w:eastAsia="es-AR" w:bidi="es-AR"/>
        </w:rPr>
        <w:t xml:space="preserve">Por ello, la referencia a la potestad sancionatoria de la Suprema Corte no resulta ajena ni meramente eventual. Integra expresamente el contenido de la tutela solicitada y pone de manifiesto que la controversia compromete la relación reglamentaria existente entre el órgano que habilita, controla y eventualmente sanciona al medio periodístico y la empresa sujeta a ese régimen. Tal circunstancia, valorada conjuntamente con la fuente normativa de la tarifa y con los efectos pretendidos, impide reducir el litigio a una relación exclusivamente privada entre proveedor y consumidores.</w:t>
      </w:r>
    </w:p>
    <w:p>
      <w:pPr>
        <w:pStyle w:val="[Normal]"/>
        <w:spacing w:line="360" w:lineRule="auto"/>
        <w:ind w:firstLine="1134"/>
        <w:jc w:val="both"/>
        <w:rPr>
          <w:lang w:val="es-AR" w:eastAsia="es-AR" w:bidi="es-AR"/>
        </w:rPr>
      </w:pPr>
      <w:r>
        <w:rPr>
          <w:lang w:val="es-AR" w:eastAsia="es-AR" w:bidi="es-AR"/>
        </w:rPr>
        <w:t xml:space="preserve">Esta conclusión se ve reforzada por la naturaleza de las atribuciones estatales comprometidas. La reglamentación de las condiciones de habilitación y del régimen tarifario aplicable a los órganos de prensa, así como su fiscalización y eventual sanción, no integran la función jurisdiccional específica de la Suprema Corte, sino que constituyen actividad materialmente administrativa desarrollada por el Poder Judicial. En este sentido, he de adscribir al </w:t>
      </w:r>
      <w:r>
        <w:rPr>
          <w:color w:val="000000"/>
          <w:lang w:val="es-AR" w:eastAsia="es-AR" w:bidi="es-AR"/>
        </w:rPr>
        <w:t xml:space="preserve">concepto subjetivo-funcional de actividad administrativa como compendio de: 1) toda la actividad que realizan los órganos administrativos, 2) toda la actividad que realiza los órganos legislativos excluida la función legislativa –en sentido material y orgánico- y 3)  toda la actividad que realizan los órganos judiciales excluida la función jurisdiccional –en sentido material y orgánico- (GORDILLO, Agustín, Tratado de Derecho Administrativo, Tomo I, Fundación de Derecho Administrativo, Buenos Aires, 2009, pág. IX-37).</w:t>
      </w:r>
    </w:p>
    <w:p>
      <w:pPr>
        <w:pStyle w:val="[Normal]"/>
        <w:spacing w:line="360" w:lineRule="auto"/>
        <w:ind w:firstLine="1134"/>
        <w:jc w:val="both"/>
        <w:rPr>
          <w:lang w:val="es-AR" w:eastAsia="es-AR" w:bidi="es-AR"/>
        </w:rPr>
      </w:pPr>
      <w:r>
        <w:rPr>
          <w:lang w:val="es-AR" w:eastAsia="es-AR" w:bidi="es-AR"/>
        </w:rPr>
        <w:t xml:space="preserve">Como derivación práctica de lo expuesto, la función administrativa no se circunscribe a la actuación del Poder Ejecutivo, sino que comprende también aquella desplegada por los restantes poderes del Estado cuando ejercen potestades de organización, reglamentación, control o disciplina. En esa medida, la pretensión de obtener el cumplimiento coercitivo de dicho régimen y de promover la actuación sancionatoria del órgano que lo dictó se encuentra comprendida en el ámbito definido por el art. 166, último párrafo, de la Constitución provincial y por los arts. 1 y 2 inc. 1 de la Ley 12.008, que atribuyen al fuero especializado el conocimiento de las controversias originadas en el ejercicio de funciones administrativas y de aquellas vinculadas con actos administrativos de alcance general.</w:t>
      </w:r>
    </w:p>
    <w:p>
      <w:pPr>
        <w:pStyle w:val="[Normal]"/>
        <w:spacing w:line="360" w:lineRule="auto"/>
        <w:ind w:firstLine="1134"/>
        <w:jc w:val="both"/>
        <w:rPr>
          <w:lang w:val="es-AR" w:eastAsia="es-AR" w:bidi="es-AR"/>
        </w:rPr>
      </w:pPr>
      <w:r>
        <w:rPr>
          <w:lang w:val="es-AR" w:eastAsia="es-AR" w:bidi="es-AR"/>
        </w:rPr>
        <w:t xml:space="preserve">El cuestionamiento de constitucionalidad y razonabilidad formulado por la demandada no creó esa dimensión administrativa, sino que exteriorizó la controversia acerca de la validez y aplicabilidad del régimen sobre el cual la actora apoyó su pretensión. Aunque la contestación de demanda no pueda transformar libremente la naturaleza de la acción ni sustituir el objeto propuesto, tampoco corresponde prescindir de una defensa dirigida contra la norma que constituye el fundamento inmediato de la obligación cuyo cumplimiento se exige.</w:t>
      </w:r>
    </w:p>
    <w:p>
      <w:pPr>
        <w:pStyle w:val="[Normal]"/>
        <w:spacing w:line="360" w:lineRule="auto"/>
        <w:ind w:firstLine="1134"/>
        <w:jc w:val="both"/>
        <w:rPr>
          <w:lang w:val="es-AR" w:eastAsia="es-AR" w:bidi="es-AR"/>
        </w:rPr>
      </w:pPr>
      <w:r>
        <w:rPr>
          <w:lang w:val="es-AR" w:eastAsia="es-AR" w:bidi="es-AR"/>
        </w:rPr>
        <w:t xml:space="preserve">La circunstancia de que la accionante haya invocado el régimen consumeril y dirigido la demanda contra una sociedad privada no resulta suficiente para definir la competencia. La calidad de los sujetos y la denominación de la acción deben ser confrontadas con la relación jurídica sustancial, la fuente del deber invocado y los efectos jurídicos e institucionales de la sentencia pretendida. En este caso, tales elementos remiten de manera directa al régimen administrativo establecido por la Suprema Corte para la habilitación, fijación tarifaria, fiscalización y sanción de los órganos de prensa autorizados.</w:t>
      </w:r>
    </w:p>
    <w:p>
      <w:pPr>
        <w:pStyle w:val="[Normal]"/>
        <w:spacing w:line="360" w:lineRule="auto"/>
        <w:ind w:firstLine="1134"/>
        <w:jc w:val="both"/>
        <w:rPr>
          <w:lang w:val="es-AR" w:eastAsia="es-AR" w:bidi="es-AR"/>
        </w:rPr>
      </w:pPr>
      <w:r>
        <w:rPr>
          <w:lang w:val="es-AR" w:eastAsia="es-AR" w:bidi="es-AR"/>
        </w:rPr>
        <w:t xml:space="preserve">En consecuencia, aun cuando no resultara necesario compartir todos los fundamentos empleados por el juez de grado, la solución adoptada debe ser confirmada. El desplazamiento de competencia no se justifica entonces porque la demandada pueda alterar unilateralmente el objeto del proceso mediante una defensa incidental, sino porque la propia configuración de la pretensión exige definir el alcance y la exigibilidad de obligaciones provenientes de reglamentos administrativos y procura, además, provocar el ejercicio de la potestad sancionatoria del órgano que los dictó.</w:t>
      </w:r>
    </w:p>
    <w:p>
      <w:pPr>
        <w:pStyle w:val="[Normal]"/>
        <w:spacing w:line="360" w:lineRule="auto"/>
        <w:ind w:firstLine="1134"/>
        <w:jc w:val="both"/>
        <w:rPr>
          <w:lang w:val="es-AR" w:eastAsia="es-AR" w:bidi="es-AR"/>
        </w:rPr>
      </w:pPr>
      <w:r>
        <w:rPr>
          <w:lang w:val="es-AR" w:eastAsia="es-AR" w:bidi="es-AR"/>
        </w:rPr>
        <w:t xml:space="preserve">Por consiguiente, no se verifica la desnaturalización de la pretensión denunciada por la recurrente. Y, por ende, corresponde rechazar el primer agravio y confirmar, en este aspecto, la resolución apelada, sin perjuicio del análisis específico de las reglas atributivas de competencia contenidas en las Leyes 12.008 y 13.133.	</w:t>
        <w:br w:type="textWrapping"/>
      </w:r>
      <w:r>
        <w:rPr>
          <w:lang w:val="es-AR" w:eastAsia="es-AR" w:bidi="es-AR"/>
        </w:rPr>
        <w:t xml:space="preserve"> 	II.- El segundo agravio tampoco habrá de prosperar.	</w:t>
        <w:br w:type="textWrapping"/>
      </w:r>
      <w:r>
        <w:rPr>
          <w:lang w:val="es-AR" w:eastAsia="es-AR" w:bidi="es-AR"/>
        </w:rPr>
        <w:t xml:space="preserve"> 	La recurrente sostiene que la competencia contencioso administrativa sólo podría configurarse si la acción se dirigiera contra un órgano estatal, tuviera por objeto la impugnación de un acto administrativo o involucrara a un prestador de servicios públicos o concesionario de obra pública. Esa interpretación, sin embargo, reduce indebidamente el alcance de las reglas que delimitan la materia administrativa.	</w:t>
        <w:br w:type="textWrapping"/>
      </w:r>
      <w:r>
        <w:rPr>
          <w:lang w:val="es-AR" w:eastAsia="es-AR" w:bidi="es-AR"/>
        </w:rPr>
        <w:t xml:space="preserve"> 	La Ley 12.008 adopta un criterio predominantemente objetivo y funcional. Su art. 1 atribuye al fuero especializado las pretensiones originadas por actuaciones u omisiones producidas en ejercicio de funciones administrativas, mientras que el art. 2 inc. 1 incluye las controversias vinculadas con actos administrativos de alcance particular o general. Por ello, la competencia no depende exclusivamente de la presencia formal del Estado como parte, sino de la naturaleza de la función comprometida, de la fuente jurídica de la relación controvertida y del régimen que gobierna su solución. 	</w:t>
        <w:br w:type="textWrapping"/>
      </w:r>
      <w:r>
        <w:rPr>
          <w:lang w:val="es-AR" w:eastAsia="es-AR" w:bidi="es-AR"/>
        </w:rPr>
        <w:t xml:space="preserve"> 	En el caso, los Acuerdos 3103 y 3503 fueron dictados por la Suprema Corte en ejercicio de atribuciones materialmente administrativas y regulan las condiciones bajo las cuales los órganos de prensa pueden ser incorporados y permanecer en el registro de medios autorizados para publicar edictos judiciales. Ese ordenamiento comprende requisitos de habilitación, pautas tarifarias, mecanismos de fiscalización y consecuencias sancionatorias frente a su incumplimiento. 	</w:t>
        <w:br w:type="textWrapping"/>
      </w:r>
      <w:r>
        <w:rPr>
          <w:lang w:val="es-AR" w:eastAsia="es-AR" w:bidi="es-AR"/>
        </w:rPr>
        <w:t xml:space="preserve"> 	La circunstancia de que la demandada sea una sociedad privada no desvirtúa esa conclusión. La competencia en razón de la materia no queda definida únicamente por la condición pública o privada de los sujetos, sino por la relación jurídica sustancial sometida a decisión. En la especie, la obligación tarifaria cuyo incumplimiento se denuncia no surge de la libre estipulación entre el diario y los anunciantes, sino de las condiciones reglamentarias impuestas por la Suprema Corte para el ejercicio de una actividad sujeta a habilitación, registro, control y eventual sanción.	</w:t>
        <w:br w:type="textWrapping"/>
      </w:r>
      <w:r>
        <w:rPr>
          <w:lang w:val="es-AR" w:eastAsia="es-AR" w:bidi="es-AR"/>
        </w:rPr>
        <w:t xml:space="preserve"> 	De allí que tampoco resulte indispensable calificar al diario como concesionario de un servicio público o de una obra pública. Aun cuando no se verificara ninguna de esas categorías, la pretensión se apoya directamente en un régimen de derecho público y procura que el órgano judicial declare su infracción, determine las consecuencias económicas de su incumplimiento y comunique lo decidido a la autoridad que ejerce la potestad de fiscalización y sanción. La competencia administrativa encuentra sustento en esa configuración objetiva, y no en una supuesta equiparación de la demandada con un concesionario estatal.	</w:t>
        <w:br w:type="textWrapping"/>
      </w:r>
      <w:r>
        <w:rPr>
          <w:lang w:val="es-AR" w:eastAsia="es-AR" w:bidi="es-AR"/>
        </w:rPr>
        <w:t xml:space="preserve"> 	Este aspecto permite también precisar el alcance de la regla establecida por el art. 30 de la Ley 13.133. Dicha norma atribuye al fuero civil y comercial  las controversias derivadas de relaciones de consumo, con la excepción allí contemplada respecto de determinados servicios públicos. Sin embargo, su aplicación presupone que la relación jurídica sometida a juzgamiento se encuentre regida primordialmente por el derecho privado y consumeril; no basta la invocación de esa normativa ni la formulación de remedios propios de ella para excluir una materia que, conforme a su causa y objeto sustanciales, se encuentra alcanzada por el derecho administrativo. </w:t>
        <w:br w:type="textWrapping"/>
      </w:r>
      <w:r>
        <w:rPr>
          <w:lang w:val="es-AR" w:eastAsia="es-AR" w:bidi="es-AR"/>
        </w:rPr>
        <w:t xml:space="preserve"> 	En otros términos, la tutela de los consumidores no impone necesariamente que todas las cuestiones vinculadas con sus derechos deban tramitar ante el fuero civil y comercial. La normativa protectoria puede concurrir con reglas de derecho público, pero esa coexistencia exige determinar cuál de ellas gobierna de manera predominante el núcleo de la controversia. Aquí, las pretensiones de cese, restitución y daño punitivo dependen previamente de establecer el contenido, vigencia, obligatoriedad y alcance del régimen tarifario administrativo invocado como fuente de la ilicitud.	</w:t>
        <w:br w:type="textWrapping"/>
      </w:r>
      <w:r>
        <w:rPr>
          <w:lang w:val="es-AR" w:eastAsia="es-AR" w:bidi="es-AR"/>
        </w:rPr>
        <w:t xml:space="preserve"> 	Por esta misma razón, no comparto la afirmación de que los Acuerdos 3103 y 3503 funcionen únicamente como un parámetro externo de juzgamiento. Sin esos reglamentos no existiría el límite tarifario cuya violación se denuncia, no podría identificarse el supuesto exceso ni cuantificarse la restitución pretendida. Además, la parte actora solicita -como ya he mencionado ut supra- que la sentencia sea comunicada a la Suprema Corte para que ésta aplique las sanciones correspondientes, lo cual demuestra que el reclamo se proyecta sobre la relación de sujeción administrativa que vincula al órgano de prensa habilitado con la autoridad reglamentaria. 	</w:t>
        <w:br w:type="textWrapping"/>
      </w:r>
      <w:r>
        <w:rPr>
          <w:lang w:val="es-AR" w:eastAsia="es-AR" w:bidi="es-AR"/>
        </w:rPr>
        <w:t xml:space="preserve"> 	Los remedios consumeriles reclamados aparecen así subordinados a una determinación antecedente de derecho público: establecer si la demandada incumplió las condiciones tarifarias de su habilitación y si el régimen cuestionado conserva aptitud jurídica para producir los efectos que la accionante pretende atribuirle. Esa cuestión excede el examen incidental de una norma administrativa como simple pauta de licitud y compromete directamente la interpretación y aplicación de un acto reglamentario dictado en ejercicio de función administrativa.	</w:t>
        <w:br w:type="textWrapping"/>
      </w:r>
      <w:r>
        <w:rPr>
          <w:lang w:val="es-AR" w:eastAsia="es-AR" w:bidi="es-AR"/>
        </w:rPr>
        <w:t xml:space="preserve">	Por tanto, aun cuando pueda disentirse con la caracterización de la demandada como prestadora de un servicio público o concesionaria, esa circunstancia no conduce a revocar la decisión apelada. La juridicidad de la solución alcanzada se sostiene a partir de que la controversia se encuentra estructurada, de manera predominante, sobre obligaciones, condiciones de habilitación y potestades de control provenientes de un régimen administrativo, aspecto que basta para subsumirla en los arts. 1 y 2 inc. 1 de la Ley 12.008.	</w:t>
        <w:br w:type="textWrapping"/>
      </w:r>
      <w:r>
        <w:rPr>
          <w:lang w:val="es-AR" w:eastAsia="es-AR" w:bidi="es-AR"/>
        </w:rPr>
        <w:t xml:space="preserve"> 	En consecuencia, corresponde rechazar el segundo agravio y confirmar la declaración de incompetencia del fuero civil y comercial, manteniendo la remisión de las actuaciones al Juzgado en lo Contencioso Administrativo departamental.</w:t>
      </w:r>
    </w:p>
    <w:p>
      <w:pPr>
        <w:pStyle w:val="[Normal]"/>
        <w:spacing w:line="360" w:lineRule="auto"/>
        <w:ind w:firstLine="1134"/>
        <w:jc w:val="both"/>
        <w:rPr>
          <w:lang w:val="es-AR" w:eastAsia="es-AR" w:bidi="es-AR"/>
        </w:rPr>
      </w:pPr>
      <w:r>
        <w:rPr>
          <w:lang w:val="es-AR" w:eastAsia="es-AR" w:bidi="es-AR"/>
        </w:rPr>
        <w:t xml:space="preserve">III.- En lo concerniente al agravio relativo a las costas, considero que habrá de prosperar, aunque por fundamentos distintos de los vinculados con la complejidad de la cuestión debatida.</w:t>
      </w:r>
    </w:p>
    <w:p>
      <w:pPr>
        <w:pStyle w:val="[Normal]"/>
        <w:spacing w:line="360" w:lineRule="auto"/>
        <w:ind w:firstLine="1134"/>
        <w:jc w:val="both"/>
        <w:rPr>
          <w:lang w:val="es-AR" w:eastAsia="es-AR" w:bidi="es-AR"/>
        </w:rPr>
      </w:pPr>
      <w:r>
        <w:rPr>
          <w:lang w:val="es-AR" w:eastAsia="es-AR" w:bidi="es-AR"/>
        </w:rPr>
        <w:t xml:space="preserve">En efecto, la particularidad o dificultad jurídica del planteo competencial no constituye, por sí sola, una razón suficiente para apartarse del principio objetivo de la derrota establecido por el art. 68 del CPCCBA. La eximición requiere la concurrencia de circunstancias concretas que demuestren que la parte vencida pudo razonablemente considerarse con derecho a litigar, extremo que no queda satisfecho mediante la sola invocación del carácter novedoso o complejo de la controversia.</w:t>
      </w:r>
    </w:p>
    <w:p>
      <w:pPr>
        <w:pStyle w:val="[Normal]"/>
        <w:spacing w:line="360" w:lineRule="auto"/>
        <w:ind w:firstLine="1134"/>
        <w:jc w:val="both"/>
        <w:rPr>
          <w:lang w:val="es-AR" w:eastAsia="es-AR" w:bidi="es-AR"/>
        </w:rPr>
      </w:pPr>
      <w:r>
        <w:rPr>
          <w:lang w:val="es-AR" w:eastAsia="es-AR" w:bidi="es-AR"/>
        </w:rPr>
        <w:t xml:space="preserve">Sin embargo, la solución debe ser diversa frente al beneficio de justicia gratuita invocado por ADDUC. La presente acción fue promovida por una asociación de consumidores en defensa de intereses de incidencia colectiva, con fundamento expreso en los arts. 43 de la Constitución nacional y 52 y 55 de la Ley 24.240, procurando el cese de una conducta común, la restitución de las sumas percibidas de los integrantes del grupo y la aplicación de daño punitivo. Esa configuración surge del propio escrito inicial y no queda alterada por la decisión relativa al órgano judicial competente.</w:t>
      </w:r>
    </w:p>
    <w:p>
      <w:pPr>
        <w:pStyle w:val="[Normal]"/>
        <w:spacing w:line="360" w:lineRule="auto"/>
        <w:ind w:firstLine="1134"/>
        <w:jc w:val="both"/>
        <w:rPr>
          <w:lang w:val="es-AR" w:eastAsia="es-AR" w:bidi="es-AR"/>
        </w:rPr>
      </w:pPr>
      <w:r>
        <w:rPr>
          <w:lang w:val="es-AR" w:eastAsia="es-AR" w:bidi="es-AR"/>
        </w:rPr>
        <w:t xml:space="preserve">El art. 55, segundo párrafo, de la Ley 24.240 dispone que las acciones judiciales iniciadas por las asociaciones de consumidores en defensa de intereses de incidencia colectiva gozan del beneficio de justicia gratuita. La franquicia posee, en este supuesto, un alcance diferente del contemplado en el art. 53 para las acciones individuales, pues la norma no reconoce a la contraparte la posibilidad de promover un incidente destinado a acreditar la solvencia de la asociación y hacer cesar el beneficio.</w:t>
      </w:r>
    </w:p>
    <w:p>
      <w:pPr>
        <w:pStyle w:val="[Normal]"/>
        <w:spacing w:line="360" w:lineRule="auto"/>
        <w:ind w:firstLine="1134"/>
        <w:jc w:val="both"/>
        <w:rPr>
          <w:lang w:val="es-AR" w:eastAsia="es-AR" w:bidi="es-AR"/>
        </w:rPr>
      </w:pPr>
      <w:r>
        <w:rPr>
          <w:lang w:val="es-AR" w:eastAsia="es-AR" w:bidi="es-AR"/>
        </w:rPr>
        <w:t xml:space="preserve">La Suprema Corte provincial se pronunció específicamente sobre esta cuestión en la causa C. 121.973, </w:t>
      </w:r>
      <w:r>
        <w:rPr>
          <w:i/>
          <w:lang w:val="es-AR" w:eastAsia="es-AR" w:bidi="es-AR"/>
        </w:rPr>
        <w:t xml:space="preserve">“CODEC contra Banco de la Provincia de Buenos Aires”</w:t>
      </w:r>
      <w:r>
        <w:rPr>
          <w:lang w:val="es-AR" w:eastAsia="es-AR" w:bidi="es-AR"/>
        </w:rPr>
        <w:t xml:space="preserve">. Allí estableció que, cuando una asociación de usuarios y consumidores resulta vencida en una acción colectiva, el beneficio previsto por el art. 55 impide, por regla, que se le impongan las costas, por lo que corresponde eximirla de esa condena. Asimismo, descartó que la gratuidad opere únicamente como una dispensa provisional de pago y revocó la imposición de las costas de ambas instancias, aun cuando se había confirmado el rechazo de la acción por falta de legitimación activa.</w:t>
      </w:r>
    </w:p>
    <w:p>
      <w:pPr>
        <w:pStyle w:val="[Normal]"/>
        <w:spacing w:line="360" w:lineRule="auto"/>
        <w:ind w:firstLine="1134"/>
        <w:jc w:val="both"/>
        <w:rPr>
          <w:lang w:val="es-AR" w:eastAsia="es-AR" w:bidi="es-AR"/>
        </w:rPr>
      </w:pPr>
      <w:r>
        <w:rPr>
          <w:lang w:val="es-AR" w:eastAsia="es-AR" w:bidi="es-AR"/>
        </w:rPr>
        <w:t xml:space="preserve">Esta doctrina resulta directamente aplicable. El rechazo de los agravios vinculados con la competencia no transforma la acción colectiva en una pretensión promovida al margen del régimen consumeril ni importa decidir, en esta etapa, acerca de su procedencia sustancial. La determinación de que el conflicto debe tramitar ante el fuero contencioso administrativo sólo define el órgano jurisdiccional llamado a intervenir; no priva retroactivamente a la asociación de la protección económica bajo la cual promovió la tutela colectiva.</w:t>
      </w:r>
    </w:p>
    <w:p>
      <w:pPr>
        <w:pStyle w:val="[Normal]"/>
        <w:spacing w:line="360" w:lineRule="auto"/>
        <w:ind w:firstLine="1134"/>
        <w:jc w:val="both"/>
        <w:rPr>
          <w:lang w:val="es-AR" w:eastAsia="es-AR" w:bidi="es-AR"/>
        </w:rPr>
      </w:pPr>
      <w:r>
        <w:rPr>
          <w:lang w:val="es-AR" w:eastAsia="es-AR" w:bidi="es-AR"/>
        </w:rPr>
        <w:t xml:space="preserve">Por igual motivo, no resulta atendible la postura de la demandada según la cual la gratuidad no impediría imponer las costas, sino únicamente exigir su pago mientras subsista el beneficio. Esa distinción fue expresamente desestimada por la doctrina legal citada, que no limita la franquicia a la inexigibilidad de las erogaciones, sino que establece la improcedencia misma de la condena en costas contra la asociación que actúa en defensa de intereses colectivos.</w:t>
      </w:r>
    </w:p>
    <w:p>
      <w:pPr>
        <w:pStyle w:val="[Normal]"/>
        <w:spacing w:line="360" w:lineRule="auto"/>
        <w:ind w:firstLine="1134"/>
        <w:jc w:val="both"/>
        <w:rPr>
          <w:lang w:val="es-AR" w:eastAsia="es-AR" w:bidi="es-AR"/>
        </w:rPr>
      </w:pPr>
      <w:r>
        <w:rPr>
          <w:lang w:val="es-AR" w:eastAsia="es-AR" w:bidi="es-AR"/>
        </w:rPr>
        <w:t xml:space="preserve">En consecuencia, aunque corresponde confirmar la declaración de incompetencia material, debe recibirse favorablemente este agravio y dejarse sin efecto la condena en costas impuesta a la asociación actora en la instancia de origen. Por los mismos fundamentos, y pese al rechazo de las críticas principales, tampoco corresponde imponerle las costas generadas por la intervención de esta Alzada.</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1) Hacer lugar parcialmente al recurso de apelación interpuesto por la parte actora contra la resolución de fecha 23 de abril de 2026 en lo estrictamente atinente a la imposición de costas -estése a lo dispuesto en el punto II del presente resolutorio- ; confirmando el pronunciamiento apelado en cuanto hizo lugar a la excepción de incompetencia planteada por la demandada, declaró la incompetencia material del fuero civil y comercial y dispuso la remisión de las actuaciones al Juzgado en lo Contencioso Administrativo departamental.</w:t>
      </w:r>
    </w:p>
    <w:p>
      <w:pPr>
        <w:pStyle w:val="[Normal]"/>
        <w:spacing w:line="360" w:lineRule="auto"/>
        <w:ind w:firstLine="1134"/>
        <w:jc w:val="both"/>
        <w:rPr>
          <w:lang w:val="es-AR" w:eastAsia="es-AR" w:bidi="es-AR"/>
        </w:rPr>
      </w:pPr>
      <w:r>
        <w:rPr>
          <w:lang w:val="es-AR" w:eastAsia="es-AR" w:bidi="es-AR"/>
        </w:rPr>
        <w:t xml:space="preserve">2) Revocar la resolución recurrida en cuanto impuso las costas de la incidencia a la parte actora, en atención al beneficio de justicia gratuita que ampara a las asociaciones de consumidores cuando actúan en defensa de intereses de incidencia colectiva.</w:t>
      </w:r>
    </w:p>
    <w:p>
      <w:pPr>
        <w:pStyle w:val="[Normal]"/>
        <w:spacing w:line="360" w:lineRule="auto"/>
        <w:ind w:firstLine="1134"/>
        <w:jc w:val="both"/>
        <w:rPr>
          <w:lang w:val="es-AR" w:eastAsia="es-AR" w:bidi="es-AR"/>
        </w:rPr>
      </w:pPr>
      <w:r>
        <w:rPr>
          <w:lang w:val="es-AR" w:eastAsia="es-AR" w:bidi="es-AR"/>
        </w:rPr>
        <w:t xml:space="preserve">3) Imponer las costas de Alzada en un 20% para la parte demandada, no correspondiendo establecer costas a cargo de la parte actora en atención al beneficio de justicia gratuita que ampara a las asociaciones de consumidores cuando actúan en defensa de intereses de incidencia colectiva.</w:t>
      </w:r>
    </w:p>
    <w:p>
      <w:pPr>
        <w:pStyle w:val="[Normal]"/>
        <w:spacing w:line="360" w:lineRule="auto"/>
        <w:ind w:firstLine="1134"/>
        <w:jc w:val="both"/>
        <w:rPr>
          <w:lang w:val="es-AR" w:eastAsia="es-AR" w:bidi="es-AR"/>
        </w:rPr>
      </w:pPr>
      <w:r>
        <w:rPr>
          <w:lang w:val="es-AR" w:eastAsia="es-AR" w:bidi="es-AR"/>
        </w:rPr>
        <w:t xml:space="preserve">4) Diferir la regulación de honorarios de los profesionales intervinientes hasta tanto se practique la correspondiente a la instancia de origen (art. 31 de la ley 14.967).</w:t>
      </w:r>
    </w:p>
    <w:p>
      <w:pPr>
        <w:pStyle w:val="[Normal]"/>
        <w:spacing w:line="360" w:lineRule="auto"/>
        <w:ind w:firstLine="1134"/>
        <w:jc w:val="both"/>
        <w:rPr>
          <w:lang w:val="es-AR" w:eastAsia="es-AR" w:bidi="es-AR"/>
        </w:rPr>
      </w:pPr>
      <w:r>
        <w:rPr>
          <w:b/>
          <w:lang w:val="es-AR" w:eastAsia="es-AR" w:bidi="es-AR"/>
        </w:rPr>
        <w:t xml:space="preserve">ASI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lang w:val="es-AR" w:eastAsia="es-AR" w:bidi="es-AR"/>
        </w:rPr>
        <w:t xml:space="preserve">S E N T E N C I A:</w:t>
      </w:r>
    </w:p>
    <w:p>
      <w:pPr>
        <w:pStyle w:val="[Normal]"/>
        <w:spacing w:line="360" w:lineRule="auto"/>
        <w:ind w:firstLine="1134"/>
        <w:jc w:val="both"/>
        <w:rPr>
          <w:lang w:val="es-AR" w:eastAsia="es-AR" w:bidi="es-AR"/>
        </w:rPr>
      </w:pPr>
      <w:r>
        <w:rPr>
          <w:lang w:val="es-AR" w:eastAsia="es-AR" w:bidi="es-AR"/>
        </w:rPr>
        <w:t xml:space="preserve">1) Hacer lugar parcialmente al recurso de apelación interpuesto por la parte actora contra la resolución de fecha 23 de abril de 2026 en lo estrictamente atinente a la imposición de costas -estése a lo dispuesto en el punto II del presente resolutorio- ; confirmando el pronunciamiento apelado en cuanto hizo lugar a la excepción de incompetencia planteada por la demandada, declaró la incompetencia material del fuero civil y comercial y dispuso la remisión de las actuaciones al Juzgado en lo Contencioso Administrativo departamental.</w:t>
      </w:r>
    </w:p>
    <w:p>
      <w:pPr>
        <w:pStyle w:val="[Normal]"/>
        <w:spacing w:line="360" w:lineRule="auto"/>
        <w:ind w:firstLine="1134"/>
        <w:jc w:val="both"/>
        <w:rPr>
          <w:lang w:val="es-AR" w:eastAsia="es-AR" w:bidi="es-AR"/>
        </w:rPr>
      </w:pPr>
      <w:r>
        <w:rPr>
          <w:lang w:val="es-AR" w:eastAsia="es-AR" w:bidi="es-AR"/>
        </w:rPr>
        <w:t xml:space="preserve">2) Revocar la resolución recurrida en cuanto impuso las costas de la incidencia a la parte actora, en atención al beneficio de justicia gratuita que ampara a las asociaciones de consumidores cuando actúan en defensa de intereses de incidencia colectiva.</w:t>
      </w:r>
    </w:p>
    <w:p>
      <w:pPr>
        <w:pStyle w:val="[Normal]"/>
        <w:spacing w:line="360" w:lineRule="auto"/>
        <w:ind w:firstLine="1134"/>
        <w:jc w:val="both"/>
        <w:rPr>
          <w:lang w:val="es-AR" w:eastAsia="es-AR" w:bidi="es-AR"/>
        </w:rPr>
      </w:pPr>
      <w:r>
        <w:rPr>
          <w:lang w:val="es-AR" w:eastAsia="es-AR" w:bidi="es-AR"/>
        </w:rPr>
        <w:t xml:space="preserve">3) Imponer las costas de Alzada en un 20% para la parte demandada, no correspondiendo establecer costas a cargo de la parte actora en atención al beneficio de justicia gratuita que ampara a las asociaciones de consumidores cuando actúan en defensa de intereses de incidencia colectiva.</w:t>
      </w:r>
    </w:p>
    <w:p>
      <w:pPr>
        <w:pStyle w:val="[Normal]"/>
        <w:spacing w:line="360" w:lineRule="auto"/>
        <w:ind w:firstLine="1134"/>
        <w:jc w:val="both"/>
        <w:rPr>
          <w:lang w:val="es-AR" w:eastAsia="es-AR" w:bidi="es-AR"/>
        </w:rPr>
      </w:pPr>
      <w:r>
        <w:rPr>
          <w:lang w:val="es-AR" w:eastAsia="es-AR" w:bidi="es-AR"/>
        </w:rPr>
        <w:t xml:space="preserve">4) Diferir la regulación de honorarios de los profesionales intervinientes hasta tanto se practique la correspondiente a la instancia de origen (art. 31 de la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10:13:44 -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10:43:37 -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08/09/2026 11:18:22 - MOREA Adrian Oscar - SECRETARIO DE CÁMARA</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‰7h")è'èqc^Š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237202090007008167</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08/09/2026 11:18:44 hs. bajo el número RS-138-2026 por MOREA ADRIAN OSCAR.</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Normal">
    <w:name w:val="Normal"/>
    <w:next w:val="Normal"/>
    <w:qFormat/>
    <w:pPr>
      <w:widowControl w:val="on"/>
      <w:shd w:val="clear" w:color="auto" w:fill="auto"/>
      <w:spacing w:before="0" w:after="0" w:line="240" w:lineRule="auto"/>
      <w:ind w:left="0" w:right="0" w:firstLine="0"/>
      <w:jc w:val="left"/>
    </w:pPr>
    <w:rPr>
      <w:rFonts w:ascii="Times New Roman" w:hAnsi="Times New Roman" w:eastAsia="Times New Roman" w:cs="Times New Roman"/>
      <w:b w:val="off"/>
      <w:bCs w:val="off"/>
      <w:i w:val="off"/>
      <w:iCs w:val="off"/>
      <w:strike w:val="off"/>
      <w:color w:val="auto"/>
      <w:position w:val="0"/>
      <w:sz w:val="24"/>
      <w:szCs w:val="24"/>
      <w:shd w:val="clear" w:color="auto" w:fill="auto"/>
      <w:rtl w:val="off"/>
      <w:lang w:val="x-none" w:eastAsia="x-none" w:bidi="x-none"/>
    </w:rPr>
  </w:style>
  <w:style w:type="character" w:styleId="Emphasis">
    <w:name w:val="Emphasis"/>
    <w:qFormat/>
    <w:rPr>
      <w:rFonts w:ascii="Times New Roman" w:hAnsi="Times New Roman" w:eastAsia="Times New Roman" w:cs="Times New Roman"/>
      <w:i/>
      <w:iCs/>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