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6107-26</w:t>
      </w:r>
      <w:r>
        <w:rPr>
          <w:lang w:val="es-AR" w:eastAsia="es-AR" w:bidi="es-AR"/>
        </w:rPr>
        <w:t xml:space="preserve"> caratulada </w:t>
      </w:r>
      <w:r>
        <w:rPr>
          <w:b/>
          <w:lang w:val="es-AR" w:eastAsia="es-AR" w:bidi="es-AR"/>
        </w:rPr>
        <w:t xml:space="preserve">"</w:t>
      </w:r>
      <w:r>
        <w:rPr>
          <w:b/>
          <w:color w:val="000000"/>
          <w:lang w:val="es-AR" w:eastAsia="es-AR" w:bidi="es-AR"/>
        </w:rPr>
        <w:t xml:space="preserve">DUHAU LUCIA GRACIELA C/ FINANCO S.A.  S/ ACCION REIVINDICATORIA</w:t>
      </w:r>
      <w:r>
        <w:rPr>
          <w:b/>
          <w:lang w:val="es-AR" w:eastAsia="es-AR" w:bidi="es-AR"/>
        </w:rPr>
        <w:t xml:space="preserve">"</w:t>
      </w:r>
      <w:r>
        <w:rPr>
          <w:lang w:val="es-AR" w:eastAsia="es-AR" w:bidi="es-AR"/>
        </w:rPr>
        <w:t xml:space="preserve">, Expte. </w:t>
      </w:r>
      <w:r>
        <w:rPr>
          <w:color w:val="000000"/>
          <w:lang w:val="es-AR" w:eastAsia="es-AR" w:bidi="es-AR"/>
        </w:rPr>
        <w:t xml:space="preserve">79.004</w:t>
      </w:r>
      <w:r>
        <w:rPr>
          <w:color w:val="000000"/>
          <w:lang w:val="es-AR" w:eastAsia="es-AR" w:bidi="es-AR"/>
        </w:rPr>
        <w:t xml:space="preserve"> </w:t>
      </w:r>
      <w:r>
        <w:rPr>
          <w:lang w:val="es-AR" w:eastAsia="es-AR" w:bidi="es-AR"/>
        </w:rPr>
        <w:t xml:space="preserve">del Juzgado en lo Civil y Comercial n° 1, se practicó el sorteo de ley que determinó que la votación debía efectuarse en el siguiente orden: Graciela Scaraffia y Roberto Degleue,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la señora Jueza Graciela Scaraffia dijo:</w:t>
      </w:r>
    </w:p>
    <w:p>
      <w:pPr>
        <w:pStyle w:val="[Normal]"/>
        <w:spacing w:line="360" w:lineRule="auto"/>
        <w:ind w:firstLine="1134"/>
        <w:jc w:val="both"/>
        <w:rPr>
          <w:lang w:val="es-AR" w:eastAsia="es-AR" w:bidi="es-AR"/>
        </w:rPr>
      </w:pPr>
      <w:r>
        <w:rPr>
          <w:lang w:val="es-AR" w:eastAsia="es-AR" w:bidi="es-AR"/>
        </w:rPr>
        <w:t xml:space="preserve">El Sr. Juez de la anterior instancia rechazó la demanda de reivindicación instaurada por la Sra. Lucía Graciela Duhau, en su calidad de administradora provisoria del proceso sucesorio </w:t>
      </w:r>
      <w:r>
        <w:rPr>
          <w:rStyle w:val="STRONG"/>
          <w:b w:val="off"/>
          <w:lang w:val="es-AR" w:eastAsia="es-AR" w:bidi="es-AR"/>
        </w:rPr>
        <w:t xml:space="preserve">“VIGO, Pedro Pablo s/ Sucesión Ab-Intestato" (Expte. 15.481)</w:t>
      </w:r>
      <w:r>
        <w:rPr>
          <w:lang w:val="es-AR" w:eastAsia="es-AR" w:bidi="es-AR"/>
        </w:rPr>
        <w:t xml:space="preserve"> en trámite por ante el Juzgado de Paz de la ciudad de Arrecifes, con costas (art. 68 C.P.C.).  Difirió la regulación de honorarios de los profesionales intervinientes hasta que medie firme la base para ello (art. 27 inc. a ley 14.967).</w:t>
      </w:r>
    </w:p>
    <w:p>
      <w:pPr>
        <w:pStyle w:val="[Normal]"/>
        <w:spacing w:line="360" w:lineRule="auto"/>
        <w:ind w:firstLine="1134"/>
        <w:jc w:val="both"/>
        <w:rPr>
          <w:lang w:val="es-AR" w:eastAsia="es-AR" w:bidi="es-AR"/>
        </w:rPr>
      </w:pPr>
      <w:r>
        <w:rPr>
          <w:lang w:val="es-AR" w:eastAsia="es-AR" w:bidi="es-AR"/>
        </w:rPr>
        <w:t xml:space="preserve">Tal decisorio fue objeto del recurso de apelación interpuesto el día 12-5-2026 por la parte actora, concedido el 15-5-2026 libremente y en efecto suspensivo.</w:t>
      </w:r>
    </w:p>
    <w:p>
      <w:pPr>
        <w:pStyle w:val="[Normal]"/>
        <w:spacing w:line="360" w:lineRule="auto"/>
        <w:ind w:firstLine="1134"/>
        <w:jc w:val="both"/>
        <w:rPr>
          <w:lang w:val="es-AR" w:eastAsia="es-AR" w:bidi="es-AR"/>
        </w:rPr>
      </w:pPr>
      <w:r>
        <w:rPr>
          <w:lang w:val="es-AR" w:eastAsia="es-AR" w:bidi="es-AR"/>
        </w:rPr>
        <w:t xml:space="preserve">Elevados los autos a esta Alzada con fecha 11-6-2026 se ordenó expresar agravios a la parte actora, quien el 22-6-2026 lo fundó.  El día 25-6-2026 se ordenó el traslado a la parte demandada, quien el 30-6-2026 lo evacuó.  Con fecha 2-7-2026 llamamiento de autos providencia, que firme a la fecha deja la causa en condiciones de ser fallada.</w:t>
      </w:r>
    </w:p>
    <w:p>
      <w:pPr>
        <w:pStyle w:val="[Normal]"/>
        <w:spacing w:line="360" w:lineRule="auto"/>
        <w:ind w:firstLine="1134"/>
        <w:jc w:val="both"/>
        <w:rPr>
          <w:color w:val="000000"/>
          <w:lang w:val="es-AR" w:eastAsia="es-AR" w:bidi="es-AR"/>
        </w:rPr>
      </w:pPr>
      <w:r>
        <w:rPr>
          <w:color w:val="000000"/>
          <w:lang w:val="es-AR" w:eastAsia="es-AR" w:bidi="es-AR"/>
        </w:rPr>
        <w:t xml:space="preserve">A) Antecedentes de la causa:</w:t>
      </w:r>
    </w:p>
    <w:p>
      <w:pPr>
        <w:pStyle w:val="[Normal]"/>
        <w:spacing w:line="360" w:lineRule="auto"/>
        <w:ind w:firstLine="1134"/>
        <w:jc w:val="both"/>
        <w:rPr>
          <w:color w:val="000000"/>
          <w:lang w:val="es-AR" w:eastAsia="es-AR" w:bidi="es-AR"/>
        </w:rPr>
      </w:pPr>
      <w:r>
        <w:rPr>
          <w:color w:val="000000"/>
          <w:lang w:val="es-AR" w:eastAsia="es-AR" w:bidi="es-AR"/>
        </w:rPr>
        <w:t xml:space="preserve">La parte actora, en su carácter de administradora de la sucesión de quien en vida fuera su cónyuge, Pedro Pablo VIGO, promovió demanda de reivindicación contra FINANCO S. A. respecto del inmueble sito en calle Alvarez Condarco n° 456 de la ciudad de Pergamino, nomenclado catastralmente como Circunscripción XII, Sección A, Manzana 28, Parcela 17 "i", Partida inmobiliaria N° 25.610, Matrícula 24.135 (082), del que dijo resultar cotitular en virtud de la ganancialidad del bien.</w:t>
      </w:r>
    </w:p>
    <w:p>
      <w:pPr>
        <w:pStyle w:val="[Normal]"/>
        <w:spacing w:line="360" w:lineRule="auto"/>
        <w:ind w:firstLine="1134"/>
        <w:jc w:val="both"/>
        <w:rPr>
          <w:color w:val="000000"/>
          <w:lang w:val="es-AR" w:eastAsia="es-AR" w:bidi="es-AR"/>
        </w:rPr>
      </w:pPr>
      <w:r>
        <w:rPr>
          <w:color w:val="000000"/>
          <w:lang w:val="es-AR" w:eastAsia="es-AR" w:bidi="es-AR"/>
        </w:rPr>
        <w:t xml:space="preserve">Según los propios términos de la demanda y de la sentencia en crisis, el Sr. Pedro Pablo Vigo se encontraba tramitando su concurso preventivo (autos "V., P. P. s/ Concurso Preventivo", Expte. n° 48.127, Juzgado en lo Civil y Comercial n° 2 de este Departamento Judicial) cuando, el 25 de abril de 2007, suscribió con Roque Omar Zuccarini, en representación de FINANCO S. A., un "Pre Contrato" con firmas certificadas notarialmente, por el cual la demandada se comprometía a hacerse cargo de determinados pasivos verificados en el concurso -créditos del Banco de la Provincia de Buenos Aires, de la D.G.I., de A.N.S.E.S. y honorarios del síndico y de un letrado interviniente- y a ceder a la masa de acreedores dos créditos por ella verificados, a cambio de lo cual el Sr. Vigo transmitiría a su favor el dominio del inmueble objeto de autos.</w:t>
      </w:r>
    </w:p>
    <w:p>
      <w:pPr>
        <w:pStyle w:val="[Normal]"/>
        <w:spacing w:line="360" w:lineRule="auto"/>
        <w:ind w:firstLine="1134"/>
        <w:jc w:val="both"/>
        <w:rPr>
          <w:color w:val="000000"/>
          <w:lang w:val="es-AR" w:eastAsia="es-AR" w:bidi="es-AR"/>
        </w:rPr>
      </w:pPr>
      <w:r>
        <w:rPr>
          <w:color w:val="000000"/>
          <w:lang w:val="es-AR" w:eastAsia="es-AR" w:bidi="es-AR"/>
        </w:rPr>
        <w:t xml:space="preserve">El 5 de septiembre de 2007 FINANCO S. A. celebró con el Fideicomiso de Recuperación Crediticia (Ley 12.726) -cesionario del crédito hipotecario que el Banco de la Provincia de Buenos Aires tenía sobre el inmueble- un "Convenio de Cancelación de Deuda", cancelando la totalidad de la acreencia hipotecaria ($46.987,79).  Dicho convenio fue presentado en el expediente concursal el 11 de octubre de 2007, solicitándose la aprobación de la Sindicatura y la homologación judicial, trámite que -según resulta de las propias constancias reseñadas en la sentencia apelada- fue impulsado por la demandada en diversas oportunidades (fs. 571, 575 y 580 del concurso), motivó la intervención efectiva del síndico Carlos E. Romano -quien dispuso el traslado a A.F.I.P. y A.N.S.E.S. y exigió el pago de tasa de justicia, honorarios y aportes de ley, sumas que fueron efectivamente abonadas por FINANCO S.A.-, sin que conste que ese trámite hubiera culminado con la homologación formal ni con el otorgamiento de la escritura traslativa de dominio.</w:t>
      </w:r>
    </w:p>
    <w:p>
      <w:pPr>
        <w:pStyle w:val="[Normal]"/>
        <w:spacing w:line="360" w:lineRule="auto"/>
        <w:ind w:firstLine="1134"/>
        <w:jc w:val="both"/>
        <w:rPr>
          <w:color w:val="000000"/>
          <w:lang w:val="es-AR" w:eastAsia="es-AR" w:bidi="es-AR"/>
        </w:rPr>
      </w:pPr>
      <w:r>
        <w:rPr>
          <w:color w:val="000000"/>
          <w:lang w:val="es-AR" w:eastAsia="es-AR" w:bidi="es-AR"/>
        </w:rPr>
        <w:t xml:space="preserve">En los hechos, el Sr. Vigo hizo entrega de la posesión material del inmueble a FINANCO S. A., quien desde el año 2008 comenzó a ejercerla en forma pública, pacífica e ininterrumpida: el 1° de febrero de 2008 suscribió un contrato de comodato con "Compañía Productora del Sur S. A.", en el que -mediante cláusula suscripta también por el propio Sr. Vigo- se dejó expresamente asentado que el "verdadero dueño y custodio" del inmueble era FINANCO S. A.; posteriormente celebró sucesivos contratos de locación (años 2011, 2012, 2014, 2018 y 2020) con distintos locatarios, el último de los cuales se encontraba vigente al momento del deceso del Sr. Vigo, acaecido el 19 de octubre de 2009.</w:t>
      </w:r>
    </w:p>
    <w:p>
      <w:pPr>
        <w:pStyle w:val="[Normal]"/>
        <w:spacing w:line="360" w:lineRule="auto"/>
        <w:ind w:firstLine="1134"/>
        <w:jc w:val="both"/>
        <w:rPr>
          <w:color w:val="000000"/>
          <w:lang w:val="es-AR" w:eastAsia="es-AR" w:bidi="es-AR"/>
        </w:rPr>
      </w:pPr>
      <w:r>
        <w:rPr>
          <w:color w:val="000000"/>
          <w:lang w:val="es-AR" w:eastAsia="es-AR" w:bidi="es-AR"/>
        </w:rPr>
        <w:t xml:space="preserve">Contestada la demanda por FINANCO S. A. en los términos reseñados en la sentencia de grado, sustanciada la causa y producida la prueba, el Sr. Juez de Primera Instancia dictó sentencia el 6 de mayo de 2026, rechazando la acción reivindicatoria.</w:t>
      </w:r>
    </w:p>
    <w:p>
      <w:pPr>
        <w:pStyle w:val="[Normal]"/>
        <w:spacing w:line="360" w:lineRule="auto"/>
        <w:ind w:firstLine="1134"/>
        <w:jc w:val="both"/>
        <w:rPr>
          <w:color w:val="000000"/>
          <w:lang w:val="es-AR" w:eastAsia="es-AR" w:bidi="es-AR"/>
        </w:rPr>
      </w:pPr>
      <w:r>
        <w:rPr>
          <w:color w:val="000000"/>
          <w:lang w:val="es-AR" w:eastAsia="es-AR" w:bidi="es-AR"/>
        </w:rPr>
        <w:t xml:space="preserve">B) La sentencia de primera instancia: </w:t>
      </w:r>
    </w:p>
    <w:p>
      <w:pPr>
        <w:pStyle w:val="[Normal]"/>
        <w:spacing w:line="360" w:lineRule="auto"/>
        <w:ind w:firstLine="1134"/>
        <w:jc w:val="both"/>
        <w:rPr>
          <w:color w:val="000000"/>
          <w:lang w:val="es-AR" w:eastAsia="es-AR" w:bidi="es-AR"/>
        </w:rPr>
      </w:pPr>
      <w:r>
        <w:rPr>
          <w:color w:val="000000"/>
          <w:lang w:val="es-AR" w:eastAsia="es-AR" w:bidi="es-AR"/>
        </w:rPr>
        <w:t xml:space="preserve">El Sr. Juez a quo, tras encuadrar la acción reivindicatoria en los arts. 2247 y 2248 del C.C.C.N. y recordar que los herederos continúan la persona del causante en los derechos y obligaciones que no se extinguen con su muerte (art. 2277 C.C.C.N.), tuvo por acreditado -sobre la base de la prueba documental incorporada, en especial las constancias del expediente concursal- que la entrega de la posesión del inmueble por parte de Pedro Pablo Vigo a favor de FINANCO S. A. fue voluntaria, sin que mediara vicio alguno del consentimiento, encontrando dicha entrega causa en el negocio jurídico celebrado entre las partes, puesto oportunamente en conocimiento de la Sindicatura y del Juez del concurso. Sostuvo, asimismo, que si la entrega fue voluntaria y tuvo lugar en el marco de un contrato válido -no rescindido ni anulado-, no puede hablarse de pérdida de la posesión por despojo, y que, siendo los herederos continuadores de la persona del causante, admitir la pretensión reivindicatoria importaría contrariar la doctrina de los actos propios y patentizar un enriquecimiento indebido en beneficio de aquellos, en tanto la masa hereditaria se vio directamente beneficiada por la cancelación de pasivos concursales que la propia operación con FINANCO S.A. permitió.</w:t>
      </w:r>
    </w:p>
    <w:p>
      <w:pPr>
        <w:pStyle w:val="[Normal]"/>
        <w:spacing w:line="360" w:lineRule="auto"/>
        <w:ind w:firstLine="1134"/>
        <w:jc w:val="both"/>
        <w:rPr>
          <w:color w:val="000000"/>
          <w:lang w:val="es-AR" w:eastAsia="es-AR" w:bidi="es-AR"/>
        </w:rPr>
      </w:pPr>
      <w:r>
        <w:rPr>
          <w:color w:val="000000"/>
          <w:lang w:val="es-AR" w:eastAsia="es-AR" w:bidi="es-AR"/>
        </w:rPr>
        <w:t xml:space="preserve">C) Los agravios de la parte actora: Discurren sobre los siguientes puestos, a saber: </w:t>
      </w:r>
    </w:p>
    <w:p>
      <w:pPr>
        <w:pStyle w:val="[Normal]"/>
        <w:spacing w:line="360" w:lineRule="auto"/>
        <w:ind w:firstLine="1134"/>
        <w:jc w:val="both"/>
        <w:rPr>
          <w:color w:val="000000"/>
          <w:lang w:val="es-AR" w:eastAsia="es-AR" w:bidi="es-AR"/>
        </w:rPr>
      </w:pPr>
      <w:r>
        <w:rPr>
          <w:color w:val="000000"/>
          <w:lang w:val="es-AR" w:eastAsia="es-AR" w:bidi="es-AR"/>
        </w:rPr>
        <w:t xml:space="preserve">1) que el a quo omitió ponderar que Pedro Pablo Vigo, al momento de celebrar los instrumentos con FINANCO S. A., se encontraba concursado y sujeto a inhibición general de bienes, por lo que -a su entender- no pudo disponer válida ni voluntariamente del inmueble sin la autorización judicial previa exigida por el art. 16 de la Ley 24.522, resultando dichos actos ineficaces en los términos del art. 17 de igual cuerpo legal.</w:t>
      </w:r>
    </w:p>
    <w:p>
      <w:pPr>
        <w:pStyle w:val="[Normal]"/>
        <w:spacing w:line="360" w:lineRule="auto"/>
        <w:ind w:firstLine="1134"/>
        <w:jc w:val="both"/>
        <w:rPr>
          <w:color w:val="000000"/>
          <w:lang w:val="es-AR" w:eastAsia="es-AR" w:bidi="es-AR"/>
        </w:rPr>
      </w:pPr>
      <w:r>
        <w:rPr>
          <w:color w:val="000000"/>
          <w:lang w:val="es-AR" w:eastAsia="es-AR" w:bidi="es-AR"/>
        </w:rPr>
        <w:t xml:space="preserve">2) que, por tratarse de un bien ganancial, la disposición del inmueble requería su asentimiento conyugal (art. 1277 del Código Civil derogado, actuales arts. 456 y ccdtes. del C.C.C.N. en cuanto resulten aplicables), asentimiento que nunca prestó.</w:t>
      </w:r>
    </w:p>
    <w:p>
      <w:pPr>
        <w:pStyle w:val="[Normal]"/>
        <w:spacing w:line="360" w:lineRule="auto"/>
        <w:ind w:firstLine="1134"/>
        <w:jc w:val="both"/>
        <w:rPr>
          <w:color w:val="000000"/>
          <w:lang w:val="es-AR" w:eastAsia="es-AR" w:bidi="es-AR"/>
        </w:rPr>
      </w:pPr>
      <w:r>
        <w:rPr>
          <w:color w:val="000000"/>
          <w:lang w:val="es-AR" w:eastAsia="es-AR" w:bidi="es-AR"/>
        </w:rPr>
        <w:t xml:space="preserve">3) que del expediente concursal no surge que los acreedores hubieran prestado conformidad a los acuerdos celebrados entre Vigo y FINANCO S. A., ni que el Juez del concurso los hubiera homologado, por lo que tales actos carecerían de validez.</w:t>
      </w:r>
    </w:p>
    <w:p>
      <w:pPr>
        <w:pStyle w:val="[Normal]"/>
        <w:spacing w:line="360" w:lineRule="auto"/>
        <w:ind w:firstLine="1134"/>
        <w:jc w:val="both"/>
        <w:rPr>
          <w:color w:val="000000"/>
          <w:lang w:val="es-AR" w:eastAsia="es-AR" w:bidi="es-AR"/>
        </w:rPr>
      </w:pPr>
      <w:r>
        <w:rPr>
          <w:color w:val="000000"/>
          <w:lang w:val="es-AR" w:eastAsia="es-AR" w:bidi="es-AR"/>
        </w:rPr>
        <w:t xml:space="preserve">Solicitó, en definitiva, la revocación de la sentencia apelada, con costas a la demandada.</w:t>
      </w:r>
    </w:p>
    <w:p>
      <w:pPr>
        <w:pStyle w:val="[Normal]"/>
        <w:spacing w:line="360" w:lineRule="auto"/>
        <w:ind w:firstLine="1134"/>
        <w:jc w:val="both"/>
        <w:rPr>
          <w:color w:val="000000"/>
          <w:lang w:val="es-AR" w:eastAsia="es-AR" w:bidi="es-AR"/>
        </w:rPr>
      </w:pPr>
      <w:r>
        <w:rPr>
          <w:color w:val="000000"/>
          <w:lang w:val="es-AR" w:eastAsia="es-AR" w:bidi="es-AR"/>
        </w:rPr>
        <w:t xml:space="preserve">D) La contestación de agravios: La demandada, al contestar el traslado conferido, planteó liminarmente la insuficiencia técnica del memorial recursivo en los términos de los arts. 260 y 261 del C.P.C.C. y, subsidiariamente, rebatió cada uno de los agravios sosteniendo, en lo sustancial: (a) que la actora carece de legitimación para invocar la ineficacia concursal prevista en los arts. 16 y 17 de la Ley 24.522, por tratarse de una inoponibilidad relativa instituida en resguardo exclusivo de la masa de acreedores, cuya invocación compete únicamente a la Sindicatura o a los acreedores verificados, no al propio concursado ni a sus sucesores; (b) que la inhibición general de bienes no vicia el consentimiento ni impide la entrega material de la posesión, la cual fue efectivamente prestada y mantenida sin oposición durante más de una década; (c) que la acción de nulidad por falta de asentimiento conyugal se encuentra alcanzada por el plazo de caducidad de seis meses previsto en el art. 462 del C.C.C.N., largamente vencido; y (d) que la falta de homologación formal del convenio en sede concursal constituye una vicisitud interna de aquel proceso universal, inoponible a la relación sustancial establecida entre Vigo y FINANCO S. A., máxime cuando la actuación de la Sindicatura fue transparente y la demandada cumplió con cuanto le fue requerido.</w:t>
      </w:r>
    </w:p>
    <w:p>
      <w:pPr>
        <w:pStyle w:val="[Normal]"/>
        <w:spacing w:line="360" w:lineRule="auto"/>
        <w:ind w:firstLine="1134"/>
        <w:jc w:val="both"/>
        <w:rPr>
          <w:color w:val="000000"/>
          <w:lang w:val="es-AR" w:eastAsia="es-AR" w:bidi="es-AR"/>
        </w:rPr>
      </w:pPr>
      <w:r>
        <w:rPr>
          <w:color w:val="000000"/>
          <w:lang w:val="es-AR" w:eastAsia="es-AR" w:bidi="es-AR"/>
        </w:rPr>
        <w:t xml:space="preserve">E) Entrando a resolver, liminarmente he de señalar que  sin perjuicio de la orfandad argumental que la apelada atribuye al memorial de la actora, entiendo que este contiene una crítica -aun cuando reiterativa y con abundante cita de doctrina y jurisprudencia de relación mediata con el thema decidendum- que identifica puntualmente los tramos del fallo que se reputan equivocados y las razones jurídicas de tal reproche, por lo que satisface el estándar mínimo de los arts. 254 y 260 del C.P.C.C. Corresponde, en consecuencia, desestimar el planteo de deserción del recurso y abordar los agravios por su fondo.</w:t>
      </w:r>
    </w:p>
    <w:p>
      <w:pPr>
        <w:pStyle w:val="[Normal]"/>
        <w:spacing w:line="360" w:lineRule="auto"/>
        <w:ind w:firstLine="1134"/>
        <w:jc w:val="both"/>
        <w:rPr>
          <w:color w:val="000000"/>
          <w:lang w:val="es-AR" w:eastAsia="es-AR" w:bidi="es-AR"/>
        </w:rPr>
      </w:pPr>
      <w:r>
        <w:rPr>
          <w:color w:val="000000"/>
          <w:lang w:val="es-AR" w:eastAsia="es-AR" w:bidi="es-AR"/>
        </w:rPr>
        <w:t xml:space="preserve">El primer agravio desplegado sobre  la condición de concursado y la inhibición general de bienes: asiste razón a la demandada en cuanto a la naturaleza de la sanción prevista en el art. 17 de la Ley 24.522. La ineficacia que allí se establece para los actos otorgados en violación del art. 16 no importa una nulidad de derecho común, sino una inoponibilidad de fuente concursal, instituida en protección exclusiva de la integridad del patrimonio cesante en beneficio de la masa de acreedores.  De ello se sigue que la legitimación para invocarla corresponde, en principio, a la Sindicatura o a los acreedores verificados dentro del proceso universal, y no al propio concursado -ni, por vía sucesoria, a sus herederos-, quien mal puede prevalerse de una norma tuitiva de terceros para desconocer los efectos de sus propios actos (doctrina de los arts. 9 y 10 del C.C.C.N.).</w:t>
      </w:r>
    </w:p>
    <w:p>
      <w:pPr>
        <w:pStyle w:val="[Normal]"/>
        <w:spacing w:line="360" w:lineRule="auto"/>
        <w:ind w:firstLine="1134"/>
        <w:jc w:val="both"/>
        <w:rPr>
          <w:color w:val="000000"/>
          <w:lang w:val="es-AR" w:eastAsia="es-AR" w:bidi="es-AR"/>
        </w:rPr>
      </w:pPr>
      <w:r>
        <w:rPr>
          <w:color w:val="000000"/>
          <w:lang w:val="es-AR" w:eastAsia="es-AR" w:bidi="es-AR"/>
        </w:rPr>
        <w:t xml:space="preserve">Aun soslayando la cuestión de la legitimación, la inhibición general de bienes que pesaba sobre Pedro Pablo Vigo -medida cautelar que impide genéricamente gravar o enajenar bienes registrables mediante su anotación en los asientos dominiales- operó, en todo caso, como un obstáculo registral a la mutación del dominio, mas no interfirió en el discernimiento, la intención ni la libertad con que el nombrado consintió y ejecutó la entrega material de la posesión del inmueble.  La circunstancia de que el negocio jurídico causal no hubiera podido completarse registralmente en razón del estado concursal no transforma en involuntaria una entrega de posesión que, según las constancias de la causa -contrato de comodato de febrero de 2008 con reconocimiento expreso de dominio a favor de FINANCO S. A., sucesivos contratos de locación entre 2011 y 2020, ausencia de todo reclamo del Sr. Vigo en vida- fue prestada libremente y mantenida sin turbación durante más de una década.</w:t>
      </w:r>
    </w:p>
    <w:p>
      <w:pPr>
        <w:pStyle w:val="[Normal]"/>
        <w:spacing w:line="360" w:lineRule="auto"/>
        <w:ind w:firstLine="1134"/>
        <w:jc w:val="both"/>
        <w:rPr>
          <w:color w:val="000000"/>
          <w:lang w:val="es-AR" w:eastAsia="es-AR" w:bidi="es-AR"/>
        </w:rPr>
      </w:pPr>
      <w:r>
        <w:rPr>
          <w:color w:val="000000"/>
          <w:lang w:val="es-AR" w:eastAsia="es-AR" w:bidi="es-AR"/>
        </w:rPr>
        <w:t xml:space="preserve">Por lo demás, no puede perderse de vista que la operación cuestionada permitió cancelar pasivos concursales por un monto superior a los $ 46.987,79 en concepto de capital, más gastos, tasas y honorarios, todo lo cual benefició directamente el patrimonio del concursado y, por consecuencia, a su sucesión.  Pretender hoy la reivindicación del bien que sirvió de contraprestación a esa cancelación de deudas, sin restituir ni ofrecer restituir lo recibido a cambio, importaría un ejercicio abusivo del derecho (art. 10 C.C.C.N.) y un enriquecimiento sin causa (art. 1794 C.C.C.N.) en cabeza de la sucesión, extremos correctamente ponderados por el sentenciante de grado bajo la doctrina de los actos propios. El agravio, por ende, no puede prosperar.</w:t>
      </w:r>
    </w:p>
    <w:p>
      <w:pPr>
        <w:pStyle w:val="[Normal]"/>
        <w:spacing w:line="360" w:lineRule="auto"/>
        <w:ind w:firstLine="1134"/>
        <w:jc w:val="both"/>
        <w:rPr>
          <w:color w:val="000000"/>
          <w:lang w:val="es-AR" w:eastAsia="es-AR" w:bidi="es-AR"/>
        </w:rPr>
      </w:pPr>
      <w:r>
        <w:rPr>
          <w:color w:val="000000"/>
          <w:lang w:val="es-AR" w:eastAsia="es-AR" w:bidi="es-AR"/>
        </w:rPr>
        <w:t xml:space="preserve">El segundo agravio apontocado sobre  la falta de asentimiento conyugal: de la matrícula del inmueble incorporada a la causa surge que el dominio se encontraba inscripto en su totalidad a nombre de Pedro Pablo Vigo.  La ganancialidad invocada por la actora no importa, en vida de ambos cónyuges, un condominio actual sobre el bien, sino un derecho en expectativa que recién se define -por partes iguales- al momento de la extinción de la comunidad (arg. arts. 469 y 475 del C.C.C.N.); la administración y disposición del bien correspondía, por ende, al cónyuge titular registral.</w:t>
      </w:r>
    </w:p>
    <w:p>
      <w:pPr>
        <w:pStyle w:val="[Normal]"/>
        <w:spacing w:line="360" w:lineRule="auto"/>
        <w:ind w:firstLine="1134"/>
        <w:jc w:val="both"/>
        <w:rPr>
          <w:color w:val="000000"/>
          <w:lang w:val="es-AR" w:eastAsia="es-AR" w:bidi="es-AR"/>
        </w:rPr>
      </w:pPr>
      <w:r>
        <w:rPr>
          <w:color w:val="000000"/>
          <w:lang w:val="es-AR" w:eastAsia="es-AR" w:bidi="es-AR"/>
        </w:rPr>
        <w:t xml:space="preserve">La eventual falta de asentimiento conyugal para la disposición de un bien ganancial no genera la inexistencia del acto ni habilita sin más su desconocimiento por vía de una acción real como la reivindicatoria, sino que da lugar a una acción de nulidad relativa, sujeta -conforme el art. 462 del C.C.C.N.- a un plazo de caducidad de seis meses contados desde que el cónyuge no interviniente tomó conocimiento del acto, y en todo caso desde la extinción del régimen matrimonial.  En el sub lite, el régimen matrimonial se extinguió con el fallecimiento del Sr. Vigo el 19 de octubre de 2009, y la posesión pública del inmueble por parte de FINANCO S. A. -mediante actos de administración exteriorizados por instrumentos públicos y privados oponibles erga omnes, tales como los sucesivos contratos de locación- se remonta, cuanto menos, al año 2008. Sea que se compute el plazo desde uno u otro hito, la acción tendiente a cuestionar la validez del acto por ausencia de asentimiento conyugal se encuentra largamente caduca, lo que sella la suerte adversa de este agravio, más allá de que -cabe reiterar- no fue esa la vía intentada por la actora, quien dedujo lisa y llanamente una acción reivindicatoria.</w:t>
      </w:r>
    </w:p>
    <w:p>
      <w:pPr>
        <w:pStyle w:val="[Normal]"/>
        <w:spacing w:line="360" w:lineRule="auto"/>
        <w:ind w:firstLine="1134"/>
        <w:jc w:val="both"/>
        <w:rPr>
          <w:color w:val="000000"/>
          <w:lang w:val="es-AR" w:eastAsia="es-AR" w:bidi="es-AR"/>
        </w:rPr>
      </w:pPr>
      <w:r>
        <w:rPr>
          <w:color w:val="000000"/>
          <w:lang w:val="es-AR" w:eastAsia="es-AR" w:bidi="es-AR"/>
        </w:rPr>
        <w:t xml:space="preserve">El tercer agravio que discurre sobre la falta de homologación judicial y de conformidad de los acreedores: la ausencia de homologación formal del "Convenio de Cancelación de Deuda" en el expediente concursal constituye, en todo caso, una vicisitud propia de aquel proceso universal, cuyas eventuales consecuencias -inoponibilidad frente a la masa, subsistencia del crédito a los fines concursales, etc.- son ajenas a la relación sustancial que, puertas afuera del concurso, quedó definitivamente consolidada entre Pedro Pablo Vigo y FINANCO S. A. mediante la entrega efectiva, pública y consentida de la posesión.  Adviértase, además, que la falta de culminación de aquel trámite aprobatorio no fue imputable a inacción de la demandada -quien lo impulsó en reiteradas oportunidades y afrontó los pagos que le fueron requeridos por la Sindicatura-, sino a cargas y actuaciones propias del proceso concursal que no llegaron a completarse. No resulta admisible que la sucesión del propio concursado invoque, en su exclusivo beneficio, la inconclusión de un trámite cuya génesis y cuyo eventual impulso correspondían primariamente a la esfera de actuación de su causante y de los órganos del concurso, para de ese modo desconocer los efectos de un negocio jurídico del que la masa hereditaria se benefició. El agravio debe, en consecuencia, rechazarse.</w:t>
      </w:r>
    </w:p>
    <w:p>
      <w:pPr>
        <w:pStyle w:val="[Normal]"/>
        <w:spacing w:line="360" w:lineRule="auto"/>
        <w:ind w:firstLine="1134"/>
        <w:jc w:val="both"/>
        <w:rPr>
          <w:color w:val="000000"/>
          <w:lang w:val="es-AR" w:eastAsia="es-AR" w:bidi="es-AR"/>
        </w:rPr>
      </w:pPr>
      <w:r>
        <w:rPr>
          <w:color w:val="000000"/>
          <w:lang w:val="es-AR" w:eastAsia="es-AR" w:bidi="es-AR"/>
        </w:rPr>
        <w:t xml:space="preserve">Pese a la crítica traída la sentencia de grado permanece incólumne proponiendo su confirmación.-</w:t>
      </w:r>
    </w:p>
    <w:p>
      <w:pPr>
        <w:pStyle w:val="[Normal]"/>
        <w:spacing w:line="360" w:lineRule="auto"/>
        <w:ind w:firstLine="1134"/>
        <w:jc w:val="both"/>
        <w:rPr>
          <w:color w:val="000000"/>
          <w:lang w:val="es-AR" w:eastAsia="es-AR" w:bidi="es-AR"/>
        </w:rPr>
      </w:pPr>
      <w:r>
        <w:rPr>
          <w:color w:val="000000"/>
          <w:lang w:val="es-AR" w:eastAsia="es-AR" w:bidi="es-AR"/>
        </w:rPr>
        <w:t xml:space="preserve">Por las razones dadas, citas legales de referencia y con el alcance indicado,</w:t>
      </w:r>
    </w:p>
    <w:p>
      <w:pPr>
        <w:pStyle w:val="[Normal]"/>
        <w:spacing w:line="360" w:lineRule="auto"/>
        <w:ind w:firstLine="1134"/>
        <w:jc w:val="both"/>
        <w:rPr>
          <w:color w:val="000000"/>
          <w:lang w:val="es-AR" w:eastAsia="es-AR" w:bidi="es-AR"/>
        </w:rPr>
      </w:pPr>
      <w:r>
        <w:rPr>
          <w:color w:val="000000"/>
          <w:lang w:val="es-AR" w:eastAsia="es-AR" w:bidi="es-AR"/>
        </w:rPr>
        <w:t xml:space="preserve">VOTO POR LA  AFIRMATIVA</w:t>
      </w:r>
    </w:p>
    <w:p>
      <w:pPr>
        <w:pStyle w:val="[Normal]"/>
        <w:spacing w:line="360" w:lineRule="auto"/>
        <w:ind w:firstLine="1134"/>
        <w:jc w:val="both"/>
        <w:rPr>
          <w:color w:val="000000"/>
          <w:lang w:val="es-AR" w:eastAsia="es-AR" w:bidi="es-AR"/>
        </w:rPr>
      </w:pPr>
      <w:r>
        <w:rPr>
          <w:color w:val="000000"/>
          <w:lang w:val="es-AR" w:eastAsia="es-AR" w:bidi="es-AR"/>
        </w:rPr>
        <w:t xml:space="preserve">A la misma cuestión el señor Juez Roberto Degleue por análogos fundamentos votó en el mismo sentido.-</w:t>
      </w:r>
    </w:p>
    <w:p>
      <w:pPr>
        <w:pStyle w:val="[Normal]"/>
        <w:spacing w:line="360" w:lineRule="auto"/>
        <w:ind w:firstLine="1134"/>
        <w:jc w:val="both"/>
        <w:rPr>
          <w:color w:val="000000"/>
          <w:lang w:val="es-AR" w:eastAsia="es-AR" w:bidi="es-AR"/>
        </w:rPr>
      </w:pPr>
      <w:r>
        <w:rPr>
          <w:color w:val="000000"/>
          <w:lang w:val="es-AR" w:eastAsia="es-AR" w:bidi="es-AR"/>
        </w:rPr>
        <w:t xml:space="preserve">A la segunda cuestión la señora Jueza Graciela Scaraffia dijo: De conformidad al resultado habido al tratarse la cuestión precedente, estimo que el pronunciamiento que corresponde dictar es:</w:t>
      </w:r>
    </w:p>
    <w:p>
      <w:pPr>
        <w:pStyle w:val="[Normal]"/>
        <w:spacing w:line="360" w:lineRule="auto"/>
        <w:ind w:firstLine="1134"/>
        <w:jc w:val="both"/>
        <w:rPr>
          <w:color w:val="000000"/>
          <w:lang w:val="es-AR" w:eastAsia="es-AR" w:bidi="es-AR"/>
        </w:rPr>
      </w:pPr>
      <w:r>
        <w:rPr>
          <w:color w:val="000000"/>
          <w:lang w:val="es-AR" w:eastAsia="es-AR" w:bidi="es-AR"/>
        </w:rPr>
        <w:t xml:space="preserve">1°) Rechazar el recurso de apelación interpuesto por la parte actora y, en su mérito, confirmar la sentencia de primera instancia de fecha 6 de mayo de 2026 en todo cuanto fue materia de agravio; 2°) Imponer las costas de Alzada a la parte actora, en su condición de vencida (art. 68 del C.P.C.C.); 3°) Diferir la regulación de los honorarios profesionales de Alzada para su oportunidad, una vez firme la presente y establecida base regulatoria (art. 31 y ccdtes., Ley 14.967).</w:t>
      </w:r>
    </w:p>
    <w:p>
      <w:pPr>
        <w:pStyle w:val="[Normal]"/>
        <w:spacing w:line="360" w:lineRule="auto"/>
        <w:ind w:firstLine="1134"/>
        <w:jc w:val="both"/>
        <w:rPr>
          <w:color w:val="000000"/>
          <w:lang w:val="es-AR" w:eastAsia="es-AR" w:bidi="es-AR"/>
        </w:rPr>
      </w:pPr>
      <w:r>
        <w:rPr>
          <w:color w:val="000000"/>
          <w:lang w:val="es-AR" w:eastAsia="es-AR" w:bidi="es-AR"/>
        </w:rPr>
        <w:t xml:space="preserve">ASI LO VOTO. </w:t>
      </w:r>
    </w:p>
    <w:p>
      <w:pPr>
        <w:pStyle w:val="[Normal]"/>
        <w:spacing w:line="360" w:lineRule="auto"/>
        <w:ind w:firstLine="1134"/>
        <w:jc w:val="both"/>
        <w:rPr>
          <w:color w:val="000000"/>
          <w:lang w:val="es-AR" w:eastAsia="es-AR" w:bidi="es-AR"/>
        </w:rPr>
      </w:pPr>
      <w:r>
        <w:rPr>
          <w:color w:val="000000"/>
          <w:lang w:val="es-AR" w:eastAsia="es-AR" w:bidi="es-AR"/>
        </w:rPr>
        <w:t xml:space="preserve">A la misma cuestión el señor Juez Roberto Degleue por análogos fundamentos votó en el mismo sentido.-</w:t>
      </w:r>
    </w:p>
    <w:p>
      <w:pPr>
        <w:pStyle w:val="[Normal]"/>
        <w:spacing w:line="360" w:lineRule="auto"/>
        <w:ind w:firstLine="1134"/>
        <w:jc w:val="both"/>
        <w:rPr>
          <w:color w:val="000000"/>
          <w:lang w:val="es-AR" w:eastAsia="es-AR" w:bidi="es-AR"/>
        </w:rPr>
      </w:pPr>
      <w:r>
        <w:rPr>
          <w:color w:val="000000"/>
          <w:lang w:val="es-AR" w:eastAsia="es-AR" w:bidi="es-AR"/>
        </w:rPr>
        <w:t xml:space="preserve">Con lo que terminó el presente Acuerdo, dictándose la siguiente;</w:t>
      </w:r>
    </w:p>
    <w:p>
      <w:pPr>
        <w:pStyle w:val="[Normal]"/>
        <w:spacing w:line="360" w:lineRule="auto"/>
        <w:ind w:firstLine="1134"/>
        <w:jc w:val="both"/>
        <w:rPr>
          <w:color w:val="000000"/>
          <w:lang w:val="es-AR" w:eastAsia="es-AR" w:bidi="es-AR"/>
        </w:rPr>
      </w:pPr>
      <w:r>
        <w:rPr>
          <w:color w:val="000000"/>
          <w:lang w:val="es-AR" w:eastAsia="es-AR" w:bidi="es-AR"/>
        </w:rPr>
        <w:t xml:space="preserve">S E N T E N C I A:</w:t>
      </w:r>
    </w:p>
    <w:p>
      <w:pPr>
        <w:pStyle w:val="[Normal]"/>
        <w:spacing w:line="360" w:lineRule="auto"/>
        <w:ind w:firstLine="1134"/>
        <w:jc w:val="both"/>
        <w:rPr>
          <w:color w:val="000000"/>
          <w:lang w:val="es-AR" w:eastAsia="es-AR" w:bidi="es-AR"/>
        </w:rPr>
      </w:pPr>
      <w:r>
        <w:rPr>
          <w:color w:val="000000"/>
          <w:lang w:val="es-AR" w:eastAsia="es-AR" w:bidi="es-AR"/>
        </w:rPr>
        <w:t xml:space="preserve">1°) Rechazar el recurso de apelación interpuesto por la parte actora y, en su mérito, confirmar la sentencia de primera instancia de fecha 6 de mayo de 2026 en todo cuanto fue materia de agravio; 2°) Imponer las costas de Alzada a la parte actora, en su condición de vencida (art. 68 del C.P.C.C.); 3°) Diferir la regulación de los honorarios profesionales de Alzada para su oportunidad, una vez firme la presente y establecida base regulatoria (art. 31 y ccdtes., Ley 14.967).</w:t>
      </w:r>
    </w:p>
    <w:p>
      <w:pPr>
        <w:pStyle w:val="[Normal]"/>
        <w:spacing w:line="360" w:lineRule="auto"/>
        <w:ind w:firstLine="1134"/>
        <w:jc w:val="both"/>
        <w:rPr>
          <w:color w:val="000000"/>
          <w:lang w:val="es-AR" w:eastAsia="es-AR" w:bidi="es-AR"/>
        </w:rPr>
      </w:pPr>
      <w:r>
        <w:rPr>
          <w:color w:val="000000"/>
          <w:lang w:val="es-AR" w:eastAsia="es-AR" w:bidi="es-AR"/>
        </w:rPr>
        <w:t xml:space="preserve">Regístrese. Notifíquese por Secretaría (Ac. 4013 SCBA) remitiéndose copia digital de la presente sentencia a los domicilios electrónicos de las respectivas partes. Devuélvase.-</w:t>
      </w: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20342407766@NOTIFICACIONES.SCBA.GOV.AR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20338138157@NOTIFICACIONES.SCBA.GOV.AR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11:57:03 -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12:02:21 -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12:38:58 - PELUSA Juan Cruz - AUXILIAR LETRADO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‰8/")è'!o;ÀŠ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241502090007017927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03/09/2026 12:39:12 hs. bajo el número RS-136-2026 por PELUSA JUAN.</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character" w:styleId="STRONG">
    <w:name w:val="STRONG"/>
    <w:qFormat/>
    <w:rPr>
      <w:b/>
      <w:bCs/>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