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bin" ContentType="application/vnd.openxmlformats-officedocument.oleObject"/>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wpc="http://schemas.microsoft.com/office/word/2010/wordprocessingCanvas" xmlns:wpg="http://schemas.microsoft.com/office/word/2010/wordprocessingGroup" xmlns:wps="http://schemas.microsoft.com/office/word/2010/wordprocessingShape" xmlns:mc="http://schemas.openxmlformats.org/markup-compatibility/2006" xmlns:w14="http://schemas.microsoft.com/office/word/2010/wordml" xmlns:w15="http://schemas.microsoft.com/office/word/2012/wordml" xmlns:tx19="http://schemas.textcontrol.com/tx/1900" xmlns:tx23="http://schemas.textcontrol.com/tx/2300" mc:Ignorable="w14 w15 tx19 tx23">
  <w:body>
    <w:p>
      <w:pPr>
        <w:pStyle w:val="[Normal]"/>
        <w:spacing w:line="360" w:lineRule="auto"/>
        <w:jc w:val="both"/>
        <w:rPr>
          <w:lang w:val="es-AR" w:eastAsia="es-AR" w:bidi="es-AR"/>
        </w:rPr>
      </w:pPr>
      <w:r>
        <w:rPr>
          <w:lang w:val="es-AR" w:eastAsia="es-AR" w:bidi="es-AR"/>
        </w:rPr>
        <w:t xml:space="preserve"> </w:t>
      </w:r>
    </w:p>
    <w:p>
      <w:pPr>
        <w:pStyle w:val="[Normal]"/>
        <w:spacing w:line="360" w:lineRule="auto"/>
        <w:ind w:firstLine="1134"/>
        <w:jc w:val="both"/>
        <w:rPr>
          <w:lang w:val="es-AR" w:eastAsia="es-AR" w:bidi="es-AR"/>
        </w:rPr>
      </w:pPr>
      <w:r>
        <w:rPr>
          <w:lang w:val="es-AR" w:eastAsia="es-AR" w:bidi="es-AR"/>
        </w:rPr>
        <w:t xml:space="preserve">En la ciudad de Pergamino, reunidos en Acuerdo Ordinario los Sres. Jueces de la Excma. Cámara de Apelación en lo Civil y Comercial del Departamento Judicial Pergamino, para dictar sentencia en la causa N° </w:t>
      </w:r>
      <w:r>
        <w:rPr>
          <w:color w:val="000000"/>
          <w:lang w:val="es-AR" w:eastAsia="es-AR" w:bidi="es-AR"/>
        </w:rPr>
        <w:t xml:space="preserve">6177-26</w:t>
      </w:r>
      <w:r>
        <w:rPr>
          <w:lang w:val="es-AR" w:eastAsia="es-AR" w:bidi="es-AR"/>
        </w:rPr>
        <w:t xml:space="preserve"> caratulada </w:t>
      </w:r>
      <w:r>
        <w:rPr>
          <w:b/>
          <w:lang w:val="es-AR" w:eastAsia="es-AR" w:bidi="es-AR"/>
        </w:rPr>
        <w:t xml:space="preserve">"</w:t>
      </w:r>
      <w:r>
        <w:rPr>
          <w:b/>
          <w:color w:val="000000"/>
          <w:lang w:val="es-AR" w:eastAsia="es-AR" w:bidi="es-AR"/>
        </w:rPr>
        <w:t xml:space="preserve">B., J. C/ B., A. S/ALIMENTOS</w:t>
      </w:r>
      <w:r>
        <w:rPr>
          <w:b/>
          <w:lang w:val="es-AR" w:eastAsia="es-AR" w:bidi="es-AR"/>
        </w:rPr>
        <w:t xml:space="preserve">"</w:t>
      </w:r>
      <w:r>
        <w:rPr>
          <w:lang w:val="es-AR" w:eastAsia="es-AR" w:bidi="es-AR"/>
        </w:rPr>
        <w:t xml:space="preserve">, Expte. </w:t>
      </w:r>
      <w:r>
        <w:rPr>
          <w:color w:val="000000"/>
          <w:lang w:val="es-AR" w:eastAsia="es-AR" w:bidi="es-AR"/>
        </w:rPr>
        <w:t xml:space="preserve">47.391</w:t>
      </w:r>
      <w:r>
        <w:rPr>
          <w:color w:val="000000"/>
          <w:lang w:val="es-AR" w:eastAsia="es-AR" w:bidi="es-AR"/>
        </w:rPr>
        <w:t xml:space="preserve"> </w:t>
      </w:r>
      <w:r>
        <w:rPr>
          <w:lang w:val="es-AR" w:eastAsia="es-AR" w:bidi="es-AR"/>
        </w:rPr>
        <w:t xml:space="preserve">del Juzgado de Paz de Colón, se practicó el sorteo de ley que determinó que la votación debía efectuarse en el siguiente orden: Graciela Scaraffia y Roberto Degleue, y estudiados los autos se resolvió plantear y votar las siguientes: </w:t>
      </w:r>
    </w:p>
    <w:p>
      <w:pPr>
        <w:pStyle w:val="[Normal]"/>
        <w:spacing w:line="360" w:lineRule="auto"/>
        <w:ind w:firstLine="1134"/>
        <w:jc w:val="both"/>
        <w:rPr>
          <w:lang w:val="es-AR" w:eastAsia="es-AR" w:bidi="es-AR"/>
        </w:rPr>
      </w:pPr>
      <w:r>
        <w:rPr>
          <w:b/>
          <w:lang w:val="es-AR" w:eastAsia="es-AR" w:bidi="es-AR"/>
        </w:rPr>
        <w:t xml:space="preserve">C U E S T I O N E S</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I) ¿Se ajusta a derecho la sentencia apelada?.</w:t>
      </w:r>
    </w:p>
    <w:p>
      <w:pPr>
        <w:pStyle w:val="[Normal]"/>
        <w:spacing w:line="360" w:lineRule="auto"/>
        <w:ind w:firstLine="1134"/>
        <w:jc w:val="both"/>
        <w:rPr>
          <w:lang w:val="es-AR" w:eastAsia="es-AR" w:bidi="es-AR"/>
        </w:rPr>
      </w:pPr>
      <w:r>
        <w:rPr>
          <w:lang w:val="es-AR" w:eastAsia="es-AR" w:bidi="es-AR"/>
        </w:rPr>
        <w:t xml:space="preserve">II) ¿Qué pronunciamiento corresponde dictar?.</w:t>
      </w:r>
    </w:p>
    <w:p>
      <w:pPr>
        <w:pStyle w:val="[Normal]"/>
        <w:spacing w:line="360" w:lineRule="auto"/>
        <w:ind w:firstLine="1134"/>
        <w:jc w:val="both"/>
        <w:rPr>
          <w:lang w:val="es-AR" w:eastAsia="es-AR" w:bidi="es-AR"/>
        </w:rPr>
      </w:pPr>
      <w:r>
        <w:rPr>
          <w:lang w:val="es-AR" w:eastAsia="es-AR" w:bidi="es-AR"/>
        </w:rPr>
        <w:t xml:space="preserve">A la primera cuestión la señora Jueza Graciela Scaraffia dijo:</w:t>
      </w:r>
    </w:p>
    <w:p>
      <w:pPr>
        <w:pStyle w:val="[Normal]"/>
        <w:spacing w:line="360" w:lineRule="auto"/>
        <w:ind w:firstLine="1134"/>
        <w:jc w:val="both"/>
        <w:rPr>
          <w:lang w:val="es-AR" w:eastAsia="es-AR" w:bidi="es-AR"/>
        </w:rPr>
      </w:pPr>
      <w:r>
        <w:rPr>
          <w:lang w:val="es-AR" w:eastAsia="es-AR" w:bidi="es-AR"/>
        </w:rPr>
        <w:t xml:space="preserve">El Sr. Juez a quo dictó sentencia única en las causas "B. J. c/ B., A. s/ Alimentos" (Expte. N° 47.391) y su acumulado "B. A. c/ B. J. s/ Alimentos" (Expte. N° 47.622), haciendo lugar parcialmente a la demanda de alimentos incoada por la Sra. A. B., en representación de sus hijos F.B., P.B. y F.B., contra el Sr. J. B..</w:t>
      </w:r>
    </w:p>
    <w:p>
      <w:pPr>
        <w:pStyle w:val="[Normal]"/>
        <w:spacing w:line="360" w:lineRule="auto"/>
        <w:ind w:firstLine="1134"/>
        <w:jc w:val="both"/>
        <w:rPr>
          <w:lang w:val="es-AR" w:eastAsia="es-AR" w:bidi="es-AR"/>
        </w:rPr>
      </w:pPr>
      <w:r>
        <w:rPr>
          <w:lang w:val="es-AR" w:eastAsia="es-AR" w:bidi="es-AR"/>
        </w:rPr>
        <w:t xml:space="preserve">En dicho pronunciamiento condenó al Sr. J. B. a abonar en concepto de cuota alimentaria mensual el treinta por ciento (30%) de los haberes que perciba por todo concepto -calculado sobre el bruto, menos las retenciones obligatorias de ley- o el sesenta por ciento (60%) de tres índices de crianza correspondientes a la franja etaria de los tres niños, aplicando al de mayor edad la escala de 6/12 años, debiendo abonarse el importe que resulte mayor entre ambos parámetros. Estableció asimismo que las asignaciones familiares correspondientes a los hijos serán percibidas por la progenitora, que la cuota deberá abonarse entre los días 1 y 10 de cada mes, bajo apercibimiento de ejecución en caso de incumplimiento, y que la misma tendrá efecto retroactivo a la fecha de inicio de la demanda. Impuso las costas a la parte demandada, en su carácter de vencida (art. 68 del C.P.C.).</w:t>
      </w:r>
    </w:p>
    <w:p>
      <w:pPr>
        <w:pStyle w:val="[Normal]"/>
        <w:spacing w:line="360" w:lineRule="auto"/>
        <w:ind w:firstLine="1134"/>
        <w:jc w:val="both"/>
        <w:rPr>
          <w:lang w:val="es-AR" w:eastAsia="es-AR" w:bidi="es-AR"/>
        </w:rPr>
      </w:pPr>
      <w:r>
        <w:rPr>
          <w:lang w:val="es-AR" w:eastAsia="es-AR" w:bidi="es-AR"/>
        </w:rPr>
        <w:t xml:space="preserve">Dicho decisorio fue objeto de recurso de apelación, interpuesto por la parte actora el día 26-5-2026, concedido en relación el 29-5-2026 y fundado el 3-6-2026. Con fecha 12-6-2026 se corrió el pertinente traslado, el que fue evacuado por la parte demandada el 22-6-2026 y por el Asesor de Incapaces el 20-7-2026.</w:t>
      </w:r>
    </w:p>
    <w:p>
      <w:pPr>
        <w:pStyle w:val="[Normal]"/>
        <w:spacing w:line="360" w:lineRule="auto"/>
        <w:ind w:firstLine="1134"/>
        <w:jc w:val="both"/>
        <w:rPr>
          <w:lang w:val="es-AR" w:eastAsia="es-AR" w:bidi="es-AR"/>
        </w:rPr>
      </w:pPr>
      <w:r>
        <w:rPr>
          <w:lang w:val="es-AR" w:eastAsia="es-AR" w:bidi="es-AR"/>
        </w:rPr>
        <w:t xml:space="preserve">Elevados los autos a esta Alzada, con fecha 6-8-2026 se dictó el llamamiento de autos, providencia que, firme a la fecha, deja la causa en condiciones de ser fallada, para la revisión del recurso de apelación interpuesto por el Sr. J. B. contra la sentencia definitiva de fecha 22 de mayo de 2026, dictada por el Juzgado de Paz interviniente, concedido en relación y con efecto diferido (art. 246 del C.P.C.C.).-</w:t>
      </w:r>
    </w:p>
    <w:p>
      <w:pPr>
        <w:pStyle w:val="[Normal]"/>
        <w:spacing w:line="360" w:lineRule="auto"/>
        <w:ind w:firstLine="1134"/>
        <w:jc w:val="both"/>
        <w:rPr>
          <w:lang w:val="es-AR" w:eastAsia="es-AR" w:bidi="es-AR"/>
        </w:rPr>
      </w:pPr>
      <w:r>
        <w:rPr>
          <w:lang w:val="es-AR" w:eastAsia="es-AR" w:bidi="es-AR"/>
        </w:rPr>
        <w:t xml:space="preserve">I) Los antecedentes de la causa: </w:t>
      </w:r>
    </w:p>
    <w:p>
      <w:pPr>
        <w:pStyle w:val="[Normal]"/>
        <w:spacing w:line="360" w:lineRule="auto"/>
        <w:ind w:firstLine="1134"/>
        <w:jc w:val="both"/>
        <w:rPr>
          <w:lang w:val="es-AR" w:eastAsia="es-AR" w:bidi="es-AR"/>
        </w:rPr>
      </w:pPr>
      <w:r>
        <w:rPr>
          <w:lang w:val="es-AR" w:eastAsia="es-AR" w:bidi="es-AR"/>
        </w:rPr>
        <w:t xml:space="preserve">En breve síntesis, el Sr. J. B. promovió demanda de alimentos a favor de sus tres hijos -F.B. (9), P.B. (10) y F.B. (13) solicitando que cada progenitor asumiera el cincuenta por ciento (50%) de los gastos correspondientes al tiempo de convivencia con cada uno. La Sra. A. B., con patrocinio letrado de la Dra. Abigail Litardo, contestó demanda y a su vez promovió la causa CO-47622, reclamando se fijara una cuota alimentaria de $1.439.169 y/o el 100% de tres índices de crianza para la franja etaria correspondiente a cada niño, invocando ingresos reales del demandado superiores a los declarados y la insuficiencia de la cuota provisoria fijada oportunamente por esta Cámara en el marco de la causa de violencia familiar.</w:t>
      </w:r>
    </w:p>
    <w:p>
      <w:pPr>
        <w:pStyle w:val="[Normal]"/>
        <w:spacing w:line="360" w:lineRule="auto"/>
        <w:ind w:firstLine="1134"/>
        <w:jc w:val="both"/>
        <w:rPr>
          <w:lang w:val="es-AR" w:eastAsia="es-AR" w:bidi="es-AR"/>
        </w:rPr>
      </w:pPr>
      <w:r>
        <w:rPr>
          <w:lang w:val="es-AR" w:eastAsia="es-AR" w:bidi="es-AR"/>
        </w:rPr>
        <w:t xml:space="preserve">Dispuesta la acumulación de ambas causas, se abrió el proceso a prueba, se produjo la ofrecida por las partes y dictaminó la Asesoría de Incapaces de primera instancia, recomendando fijar la cuota en el sesenta por ciento (60%) de tres índices de crianza.</w:t>
      </w:r>
    </w:p>
    <w:p>
      <w:pPr>
        <w:pStyle w:val="[Normal]"/>
        <w:spacing w:line="360" w:lineRule="auto"/>
        <w:ind w:firstLine="1134"/>
        <w:jc w:val="both"/>
        <w:rPr>
          <w:lang w:val="es-AR" w:eastAsia="es-AR" w:bidi="es-AR"/>
        </w:rPr>
      </w:pPr>
      <w:r>
        <w:rPr>
          <w:lang w:val="es-AR" w:eastAsia="es-AR" w:bidi="es-AR"/>
        </w:rPr>
        <w:t xml:space="preserve">Mediante la sentencia recurrida, el Sr. Juez de grado hizo lugar parcialmente a la demanda de alimentos promovida por la progenitora en favor de sus hijos y condenó al Sr. B. a abonar en concepto de cuota alimentaria mensual, el mayor valor que resulte entre el treinta por ciento (30%) de sus haberes por todo concepto -calculado sobre el bruto menos retenciones obligatorias de ley- o el sesenta por ciento (60%) de tres índices de crianza correspondientes a la franja etaria de los tres niños, aplicando al mayor de ellos la escala de 6 a 12 años. Dispuso asimismo que las asignaciones familiares fueran percibidas por la progenitora, otorgó efecto retroactivo a la cuota a la fecha de promoción de las respectivas demandas e impuso las costas a la parte demandada vencida (art. 68 del C.P.C.C.).</w:t>
      </w:r>
    </w:p>
    <w:p>
      <w:pPr>
        <w:pStyle w:val="[Normal]"/>
        <w:spacing w:line="360" w:lineRule="auto"/>
        <w:ind w:firstLine="1134"/>
        <w:jc w:val="both"/>
        <w:rPr>
          <w:lang w:val="es-AR" w:eastAsia="es-AR" w:bidi="es-AR"/>
        </w:rPr>
      </w:pPr>
      <w:r>
        <w:rPr>
          <w:lang w:val="es-AR" w:eastAsia="es-AR" w:bidi="es-AR"/>
        </w:rPr>
        <w:t xml:space="preserve">II) Los agravios del apelante: </w:t>
      </w:r>
    </w:p>
    <w:p>
      <w:pPr>
        <w:pStyle w:val="[Normal]"/>
        <w:spacing w:line="360" w:lineRule="auto"/>
        <w:ind w:firstLine="1134"/>
        <w:jc w:val="both"/>
        <w:rPr>
          <w:lang w:val="es-AR" w:eastAsia="es-AR" w:bidi="es-AR"/>
        </w:rPr>
      </w:pPr>
      <w:r>
        <w:rPr>
          <w:lang w:val="es-AR" w:eastAsia="es-AR" w:bidi="es-AR"/>
        </w:rPr>
        <w:t xml:space="preserve">Contra ese pronunciamiento se alza el Sr. B. mediante el memorial obrante en autos. En lo sustancial, sus agravios pueden ordenarse del siguiente modo:</w:t>
      </w:r>
    </w:p>
    <w:p>
      <w:pPr>
        <w:pStyle w:val="[Normal]"/>
        <w:spacing w:line="360" w:lineRule="auto"/>
        <w:ind w:firstLine="1134"/>
        <w:jc w:val="both"/>
        <w:rPr>
          <w:lang w:val="es-AR" w:eastAsia="es-AR" w:bidi="es-AR"/>
        </w:rPr>
      </w:pPr>
      <w:r>
        <w:rPr>
          <w:lang w:val="es-AR" w:eastAsia="es-AR" w:bidi="es-AR"/>
        </w:rPr>
        <w:t xml:space="preserve">a) Cuestiona que se haya incrementado el porcentaje fijado oportunamente por esta Cámara en la causa de violencia familiar -cuarenta por ciento (40%) de tres índices de crianza o veinte por ciento (20%) de sus haberes, el que resultara mayor-, sosteniendo que las circunstancias fácticas no variaron desde entonces, pues continúa percibiendo los mismos ingresos y no incrementó su patrimonio.</w:t>
      </w:r>
    </w:p>
    <w:p>
      <w:pPr>
        <w:pStyle w:val="[Normal]"/>
        <w:spacing w:line="360" w:lineRule="auto"/>
        <w:ind w:firstLine="1134"/>
        <w:jc w:val="both"/>
        <w:rPr>
          <w:lang w:val="es-AR" w:eastAsia="es-AR" w:bidi="es-AR"/>
        </w:rPr>
      </w:pPr>
      <w:r>
        <w:rPr>
          <w:lang w:val="es-AR" w:eastAsia="es-AR" w:bidi="es-AR"/>
        </w:rPr>
        <w:t xml:space="preserve">b) Objeta el cómputo de horas de cuidado que efectuó el sentenciante para concluir que los niños permanecen mayor tiempo con la madre. Desarrolla un detallado cálculo horario -que incluye los traslados escolares diarios a cargo del padre y los feriados que, por caer en día lunes, se traducen en pernocte adicional en su domicilio- y concluye que el tiempo de cuidado se distribuye de modo prácticamente equivalente entre ambos progenitores, por lo que correspondería igual atribución de tareas de cuidado.</w:t>
      </w:r>
    </w:p>
    <w:p>
      <w:pPr>
        <w:pStyle w:val="[Normal]"/>
        <w:spacing w:line="360" w:lineRule="auto"/>
        <w:ind w:firstLine="1134"/>
        <w:jc w:val="both"/>
        <w:rPr>
          <w:lang w:val="es-AR" w:eastAsia="es-AR" w:bidi="es-AR"/>
        </w:rPr>
      </w:pPr>
      <w:r>
        <w:rPr>
          <w:lang w:val="es-AR" w:eastAsia="es-AR" w:bidi="es-AR"/>
        </w:rPr>
        <w:t xml:space="preserve">c) Cuestiona la valoración del automóvil Volkswagen Voyage 2017 como indicio de capacidad económica, señalando que el rodado se encuentra en poder de la Sra. B. desde la separación, sin autorización para su uso, y es objeto de una causa penal por retención indebida (IPP 1201-0000928-2400, UFI 1 de Colón), por lo que fácticamente no integraría su patrimonio disponible. Aclara, además, que el crédito de tarjeta ponderado por el sentenciante corresponde a un vehículo Fiat Cronos vendido dos años atrás, y que el inmueble considerado como indicio patrimonial es objeto de la acción reivindicatoria que tramita ante el Juzgado Civil y Comercial Nº 2 (Expte. Nº 89656), del cual tampoco puede disponer.</w:t>
      </w:r>
    </w:p>
    <w:p>
      <w:pPr>
        <w:pStyle w:val="[Normal]"/>
        <w:spacing w:line="360" w:lineRule="auto"/>
        <w:ind w:firstLine="1134"/>
        <w:jc w:val="both"/>
        <w:rPr>
          <w:lang w:val="es-AR" w:eastAsia="es-AR" w:bidi="es-AR"/>
        </w:rPr>
      </w:pPr>
      <w:r>
        <w:rPr>
          <w:lang w:val="es-AR" w:eastAsia="es-AR" w:bidi="es-AR"/>
        </w:rPr>
        <w:t xml:space="preserve">d) Finalmente, denuncia la imposibilidad material de afrontar la cuota fijada, toda vez que sus haberes netos ascenderían a $432.179, mientras que el importe resultante de la aplicación del mecanismo dispuesto en el resolutorio ascendería a $1.217.575, lo que -afirma- lo dejaría sin recursos para su propia subsistencia. Agrega que solventa, por fuera de la cuota, gastos de deporte, colonia de vacaciones y viajes de estudio de sus hijos que la progenitora se niega a afrontar.</w:t>
      </w:r>
    </w:p>
    <w:p>
      <w:pPr>
        <w:pStyle w:val="[Normal]"/>
        <w:spacing w:line="360" w:lineRule="auto"/>
        <w:ind w:firstLine="1134"/>
        <w:jc w:val="both"/>
        <w:rPr>
          <w:lang w:val="es-AR" w:eastAsia="es-AR" w:bidi="es-AR"/>
        </w:rPr>
      </w:pPr>
      <w:r>
        <w:rPr>
          <w:lang w:val="es-AR" w:eastAsia="es-AR" w:bidi="es-AR"/>
        </w:rPr>
        <w:t xml:space="preserve">III) Escrito de responde: </w:t>
      </w:r>
    </w:p>
    <w:p>
      <w:pPr>
        <w:pStyle w:val="[Normal]"/>
        <w:spacing w:line="360" w:lineRule="auto"/>
        <w:ind w:firstLine="1134"/>
        <w:jc w:val="both"/>
        <w:rPr>
          <w:lang w:val="es-AR" w:eastAsia="es-AR" w:bidi="es-AR"/>
        </w:rPr>
      </w:pPr>
      <w:r>
        <w:rPr>
          <w:lang w:val="es-AR" w:eastAsia="es-AR" w:bidi="es-AR"/>
        </w:rPr>
        <w:t xml:space="preserve">Corrido el pertinente traslado, la parte apelada, con patrocinio letrado de la Dra. Abigail Litardo, solicitó el rechazo del recurso por no reunir el memorial los requisitos de la crítica concreta y razonada que exige el art. 260 del C.P.C.C. y, subsidiariamente, por resultar infundados los agravios, insistiendo en que los ingresos reales del Sr. B. exceden largamente los que surgen de sus recibos de haberes.</w:t>
      </w:r>
    </w:p>
    <w:p>
      <w:pPr>
        <w:pStyle w:val="[Normal]"/>
        <w:spacing w:line="360" w:lineRule="auto"/>
        <w:ind w:firstLine="1134"/>
        <w:jc w:val="both"/>
        <w:rPr>
          <w:lang w:val="es-AR" w:eastAsia="es-AR" w:bidi="es-AR"/>
        </w:rPr>
      </w:pPr>
      <w:r>
        <w:rPr>
          <w:lang w:val="es-AR" w:eastAsia="es-AR" w:bidi="es-AR"/>
        </w:rPr>
        <w:t xml:space="preserve">IV) El dictamen de la Asesoría de Incapaces ante esta Alzada.</w:t>
      </w:r>
    </w:p>
    <w:p>
      <w:pPr>
        <w:pStyle w:val="[Normal]"/>
        <w:spacing w:line="360" w:lineRule="auto"/>
        <w:ind w:firstLine="1134"/>
        <w:jc w:val="both"/>
        <w:rPr>
          <w:lang w:val="es-AR" w:eastAsia="es-AR" w:bidi="es-AR"/>
        </w:rPr>
      </w:pPr>
      <w:r>
        <w:rPr>
          <w:lang w:val="es-AR" w:eastAsia="es-AR" w:bidi="es-AR"/>
        </w:rPr>
        <w:t xml:space="preserve">A su turno, dictaminó la Asesoría de Incapaces interviniente ante esta instancia quien, tras reseñar los antecedentes y analizar cada uno de los agravios, concluyó que el recurso no logra derribar los fundamentos de la sentencia apelada y propició su confirmación íntegra, por resultar ajustada a derecho y al interés superior de los niños F.B., P.B. y F.B.</w:t>
      </w:r>
    </w:p>
    <w:p>
      <w:pPr>
        <w:pStyle w:val="[Normal]"/>
        <w:spacing w:line="360" w:lineRule="auto"/>
        <w:ind w:firstLine="1134"/>
        <w:jc w:val="both"/>
        <w:rPr>
          <w:lang w:val="es-AR" w:eastAsia="es-AR" w:bidi="es-AR"/>
        </w:rPr>
      </w:pPr>
      <w:r>
        <w:rPr>
          <w:lang w:val="es-AR" w:eastAsia="es-AR" w:bidi="es-AR"/>
        </w:rPr>
        <w:t xml:space="preserve">V) La admisibilidad del recurso.</w:t>
      </w:r>
    </w:p>
    <w:p>
      <w:pPr>
        <w:pStyle w:val="[Normal]"/>
        <w:spacing w:line="360" w:lineRule="auto"/>
        <w:ind w:firstLine="1134"/>
        <w:jc w:val="both"/>
        <w:rPr>
          <w:lang w:val="es-AR" w:eastAsia="es-AR" w:bidi="es-AR"/>
        </w:rPr>
      </w:pPr>
      <w:r>
        <w:rPr>
          <w:lang w:val="es-AR" w:eastAsia="es-AR" w:bidi="es-AR"/>
        </w:rPr>
        <w:t xml:space="preserve">Corresponde examinar, con carácter previo, el planteo de deserción formulado por la parte apelada con sustento en el art. 260 del C.P.C.C. Si bien el memorial presenta en algunos tramos consideraciones fácticas más que argumentos estrictamente jurídicos-, contiene una crítica concreta y razonada respecto de al menos tres puntos decisivos de la sentencia: el cómputo de horas de cuidado, la valoración patrimonial del rodado y del inmueble, y la relación entre la cuota fijada y los ingresos acreditados. Ello resulta suficiente, a la luz del criterio amplio con que corresponde valorar la admisibilidad formal de los recursos en materia de familia y del principio de tutela judicial efectiva (arts. 705 y sgtes. del Código Civil y Comercial), para tener por cumplida la carga del art. 260 del C.P.C.C. y habilitar el tratamiento sustancial de los agravios. Se rechaza, en consecuencia, el pedido de deserción formalizado por la contraria.</w:t>
      </w:r>
    </w:p>
    <w:p>
      <w:pPr>
        <w:pStyle w:val="[Normal]"/>
        <w:spacing w:line="360" w:lineRule="auto"/>
        <w:ind w:firstLine="1134"/>
        <w:jc w:val="both"/>
        <w:rPr>
          <w:lang w:val="es-AR" w:eastAsia="es-AR" w:bidi="es-AR"/>
        </w:rPr>
      </w:pPr>
      <w:r>
        <w:rPr>
          <w:lang w:val="es-AR" w:eastAsia="es-AR" w:bidi="es-AR"/>
        </w:rPr>
        <w:t xml:space="preserve">VI) Tratamiento de los agravios.</w:t>
      </w:r>
    </w:p>
    <w:p>
      <w:pPr>
        <w:pStyle w:val="[Normal]"/>
        <w:spacing w:line="360" w:lineRule="auto"/>
        <w:ind w:firstLine="1134"/>
        <w:jc w:val="both"/>
        <w:rPr>
          <w:lang w:val="es-AR" w:eastAsia="es-AR" w:bidi="es-AR"/>
        </w:rPr>
      </w:pPr>
      <w:r>
        <w:rPr>
          <w:lang w:val="es-AR" w:eastAsia="es-AR" w:bidi="es-AR"/>
        </w:rPr>
        <w:t xml:space="preserve">VI.1. Sobre la invocada invariabilidad de las circunstancias fácticas.</w:t>
      </w:r>
    </w:p>
    <w:p>
      <w:pPr>
        <w:pStyle w:val="[Normal]"/>
        <w:spacing w:line="360" w:lineRule="auto"/>
        <w:ind w:firstLine="1134"/>
        <w:jc w:val="both"/>
        <w:rPr>
          <w:lang w:val="es-AR" w:eastAsia="es-AR" w:bidi="es-AR"/>
        </w:rPr>
      </w:pPr>
      <w:r>
        <w:rPr>
          <w:lang w:val="es-AR" w:eastAsia="es-AR" w:bidi="es-AR"/>
        </w:rPr>
        <w:t xml:space="preserve">El primer agravio parte de comparar la cuota aquí fijada con la establecida oportunamente por esta Cámara en el marco de la causa de violencia familiar. El planteo no puede prosperar. Aquella cuota constituyó una medida de naturaleza provisoria, dictada con la prueba sumaria entonces disponible y en el marco de un proceso de conocimiento restringido, mientras que la sentencia aquí recurrida fue dictada luego de sustanciarse un proceso de alimentos con etapa probatoria completa, en el que se produjo prueba documental e informativa que no estuvo a disposición del Tribunal al tiempo de fijar la cuota provisoria. Las resoluciones dictadas en el marco de medidas de protección no hacen cosa juzgada material respecto de la cuota definitiva que en definitiva se fije en el proceso de conocimiento (arts. 375 y 384 del C.P.C.C.; art. 710 del Código Civil y Comercial), de modo que la circunstancia de que el apelante continúe percibiendo el mismo salario declarado no basta para descalificar el incremento dispuesto, en tanto la sentencia de grado lo fundó no solo en los haberes formales, sino en un conjunto de indicios patrimoniales adicionales que se examinan en el considerando VI.3. La invariabilidad del ingreso declarado, lejos de constituir un obstáculo, confirma la capacidad del alimentante de sostener sin dificultad la cuota fijada, en tanto no invoca ni acredita circunstancias insalvables sobrevinientes que hayan mermado su capacidad contributiva (art. 658 del Código Civil y Comercial). El agravio se rechaza.</w:t>
      </w:r>
    </w:p>
    <w:p>
      <w:pPr>
        <w:pStyle w:val="[Normal]"/>
        <w:spacing w:line="360" w:lineRule="auto"/>
        <w:ind w:firstLine="1134"/>
        <w:jc w:val="both"/>
        <w:rPr>
          <w:lang w:val="es-AR" w:eastAsia="es-AR" w:bidi="es-AR"/>
        </w:rPr>
      </w:pPr>
      <w:r>
        <w:rPr>
          <w:lang w:val="es-AR" w:eastAsia="es-AR" w:bidi="es-AR"/>
        </w:rPr>
        <w:t xml:space="preserve">VI.2. Sobre el cómputo de horas de cuidado.</w:t>
      </w:r>
    </w:p>
    <w:p>
      <w:pPr>
        <w:pStyle w:val="[Normal]"/>
        <w:spacing w:line="360" w:lineRule="auto"/>
        <w:ind w:firstLine="1134"/>
        <w:jc w:val="both"/>
        <w:rPr>
          <w:lang w:val="es-AR" w:eastAsia="es-AR" w:bidi="es-AR"/>
        </w:rPr>
      </w:pPr>
      <w:r>
        <w:rPr>
          <w:lang w:val="es-AR" w:eastAsia="es-AR" w:bidi="es-AR"/>
        </w:rPr>
        <w:t xml:space="preserve">El memorial dedica su desarrollo más extenso a un pormenorizado cálculo horario, con el que pretende demostrar que el tiempo de cuidado se reparte en partes sustancialmente iguales entre ambos progenitores, incluyendo en su cómputo los tramos escolares y los feriados que caen en día lunes.</w:t>
      </w:r>
    </w:p>
    <w:p>
      <w:pPr>
        <w:pStyle w:val="[Normal]"/>
        <w:spacing w:line="360" w:lineRule="auto"/>
        <w:ind w:firstLine="1134"/>
        <w:jc w:val="both"/>
        <w:rPr>
          <w:lang w:val="es-AR" w:eastAsia="es-AR" w:bidi="es-AR"/>
        </w:rPr>
      </w:pPr>
      <w:r>
        <w:rPr>
          <w:lang w:val="es-AR" w:eastAsia="es-AR" w:bidi="es-AR"/>
        </w:rPr>
        <w:t xml:space="preserve">Aun cuando se conceda que el cálculo horario reseñado sea aritméticamente correcto, el agravio no logra conmover el fundamento central de la sentencia apelada. El art. 660 del Código Civil y Comercial reconoce valor económico autónomo a las tareas cotidianas de cuidado personal que asume el progenitor conviviente, y ese valor -como ya lo señalara el Sr. Juez de grado con cita del precedente de la Suprema Corte provincial "D., M. c/ G., P. J. s/Alimentos" (C. 120.884, del 7/06/2017)- no se agota ni se compensa con la sola alternancia horaria o de días entre los progenitores. La determinación de qué progenitor asume la mayor carga de cuidado no puede reducirse a una operación aritmética de horas de presencia física, en tanto deja fuera de consideración la organización cotidiana de la vida de los niños -controles médicos, seguimiento escolar, provisión de indumentaria, planificación de actividades extracurriculares, entre otras tareas habitualmente invisibilizadas- que insume tiempo, previsión y disponibilidad más allá del tiempo de convivencia estricto. Lo relevante, a los fines de esta ponderación, es que el domicilio de residencia principal de los niños se mantiene en la casa materna, circunstancia no controvertida por el apelante, lo que por sí solo evidencia una asignación de tareas de sostén cotidiano que excede el cómputo horario propuesto en el memorial.</w:t>
      </w:r>
    </w:p>
    <w:p>
      <w:pPr>
        <w:pStyle w:val="[Normal]"/>
        <w:spacing w:line="360" w:lineRule="auto"/>
        <w:ind w:firstLine="1134"/>
        <w:jc w:val="both"/>
        <w:rPr>
          <w:lang w:val="es-AR" w:eastAsia="es-AR" w:bidi="es-AR"/>
        </w:rPr>
      </w:pPr>
      <w:r>
        <w:rPr>
          <w:lang w:val="es-AR" w:eastAsia="es-AR" w:bidi="es-AR"/>
        </w:rPr>
        <w:t xml:space="preserve">Ello no importa desconocer ni minimizar la activa participación del Sr. B. en el cuidado de sus hijos, que la propia sentencia de grado destacó expresamente y que este Tribunal valora positivamente; pero dicha participación -por relevante que sea- no equivale, en el caso concreto, a una distribución equitativa de la carga total de sostén que permita apartarse del criterio adoptado en la instancia de origen. El agravio se rechaza.</w:t>
      </w:r>
    </w:p>
    <w:p>
      <w:pPr>
        <w:pStyle w:val="[Normal]"/>
        <w:spacing w:line="360" w:lineRule="auto"/>
        <w:ind w:firstLine="1134"/>
        <w:jc w:val="both"/>
        <w:rPr>
          <w:lang w:val="es-AR" w:eastAsia="es-AR" w:bidi="es-AR"/>
        </w:rPr>
      </w:pPr>
      <w:r>
        <w:rPr>
          <w:lang w:val="es-AR" w:eastAsia="es-AR" w:bidi="es-AR"/>
        </w:rPr>
        <w:t xml:space="preserve">VI.3. Sobre la valoración de los recursos económicos del alimentante.</w:t>
      </w:r>
    </w:p>
    <w:p>
      <w:pPr>
        <w:pStyle w:val="[Normal]"/>
        <w:spacing w:line="360" w:lineRule="auto"/>
        <w:ind w:firstLine="1134"/>
        <w:jc w:val="both"/>
        <w:rPr>
          <w:lang w:val="es-AR" w:eastAsia="es-AR" w:bidi="es-AR"/>
        </w:rPr>
      </w:pPr>
      <w:r>
        <w:rPr>
          <w:lang w:val="es-AR" w:eastAsia="es-AR" w:bidi="es-AR"/>
        </w:rPr>
        <w:t xml:space="preserve">En cuanto a la valoración patrimonial del automóvil Volkswagen Voyage 2017 y del inmueble objeto de la acción reivindicatoria (Expte. Nº 89656, Juzgado Civil y Comercial Nº 2), asiste parcial razón al apelante en punto a que la controversia sobre la tenencia de ambos bienes se encuentra sub judice en sede penal y civil, respectivamente, y que ninguno de los dos se encuentra hoy bajo su disposición efectiva.</w:t>
      </w:r>
    </w:p>
    <w:p>
      <w:pPr>
        <w:pStyle w:val="[Normal]"/>
        <w:spacing w:line="360" w:lineRule="auto"/>
        <w:ind w:firstLine="1134"/>
        <w:jc w:val="both"/>
        <w:rPr>
          <w:lang w:val="es-AR" w:eastAsia="es-AR" w:bidi="es-AR"/>
        </w:rPr>
      </w:pPr>
      <w:r>
        <w:rPr>
          <w:lang w:val="es-AR" w:eastAsia="es-AR" w:bidi="es-AR"/>
        </w:rPr>
        <w:t xml:space="preserve">Sin embargo, ello no priva a tales elementos de todo valor indiciario en el marco del amplio criterio de "condición y fortuna" que consagra el art. 658 del Código Civil y Comercial para determinar la obligación alimentaria, el cual no se limita a los ingresos formalmente declarados sino que habilita a ponderar el nivel de vida, el patrimonio y los indicios de capacidad económica del alimentante (art. 710 del Código Civil y Comercial, principio de amplitud probatoria). La titularidad registral del rodado -más allá de las vicisitudes de su tenencia material, cuestión ajena al proceso alimentario que el apelante puede dirimir por la vía pertinente- continúa siendo un indicio válido de capacidad patrimonial. A ello se suma que el propio apelante reconoce haber sido titular de dos vehículos en los últimos años (el Volkswagen Voyage y el Fiat Cronos oportunamente vendido), circunstancia que, contrastada con el nivel de ingresos declarado, constituye un indicio relevante -no el único ni el decisivo, pero sí concordante con otros reunidos en la causa- de la existencia de recursos económicos superiores a los que surgen de sus recibos de haberes.</w:t>
      </w:r>
    </w:p>
    <w:p>
      <w:pPr>
        <w:pStyle w:val="[Normal]"/>
        <w:spacing w:line="360" w:lineRule="auto"/>
        <w:ind w:firstLine="1134"/>
        <w:jc w:val="both"/>
        <w:rPr>
          <w:lang w:val="es-AR" w:eastAsia="es-AR" w:bidi="es-AR"/>
        </w:rPr>
      </w:pPr>
      <w:r>
        <w:rPr>
          <w:lang w:val="es-AR" w:eastAsia="es-AR" w:bidi="es-AR"/>
        </w:rPr>
        <w:t xml:space="preserve">En consecuencia, corresponde aclarar que la titularidad discutida del automóvil y del inmueble no pueden computarse, por sí solas y de manera autónoma, como patrimonio líquido disponible del alimentante; ello no altera, sin embargo, la solución adoptada en la instancia de grado, en tanto la cuota fijada no se sustentó exclusivamente en esos indicios sino en la valoración conjunta de la totalidad de la prueba producida, particularmente el desempeño profesional del demandado como contador y su antigüedad de más de diez años en la firma en que se desempeña. El agravio se rechaza, sin perjuicio de la aclaración formulada.</w:t>
      </w:r>
    </w:p>
    <w:p>
      <w:pPr>
        <w:pStyle w:val="[Normal]"/>
        <w:spacing w:line="360" w:lineRule="auto"/>
        <w:ind w:firstLine="1134"/>
        <w:jc w:val="both"/>
        <w:rPr>
          <w:lang w:val="es-AR" w:eastAsia="es-AR" w:bidi="es-AR"/>
        </w:rPr>
      </w:pPr>
      <w:r>
        <w:rPr>
          <w:lang w:val="es-AR" w:eastAsia="es-AR" w:bidi="es-AR"/>
        </w:rPr>
        <w:t xml:space="preserve">VI.4. Sobre la proporcionalidad entre la cuota fijada y los haberes declarados.</w:t>
      </w:r>
    </w:p>
    <w:p>
      <w:pPr>
        <w:pStyle w:val="[Normal]"/>
        <w:spacing w:line="360" w:lineRule="auto"/>
        <w:ind w:firstLine="1134"/>
        <w:jc w:val="both"/>
        <w:rPr>
          <w:lang w:val="es-AR" w:eastAsia="es-AR" w:bidi="es-AR"/>
        </w:rPr>
      </w:pPr>
      <w:r>
        <w:rPr>
          <w:lang w:val="es-AR" w:eastAsia="es-AR" w:bidi="es-AR"/>
        </w:rPr>
        <w:t xml:space="preserve">Resta el agravio referido a la desproporción entre la cuota resultante y los haberes netos declarados por el apelante ($432.179), frente al importe de $1.217.575 que -según sus propios cálculos- surgiría de la aplicación del mecanismo fijado en la sentencia.</w:t>
      </w:r>
    </w:p>
    <w:p>
      <w:pPr>
        <w:pStyle w:val="[Normal]"/>
        <w:spacing w:line="360" w:lineRule="auto"/>
        <w:ind w:firstLine="1134"/>
        <w:jc w:val="both"/>
        <w:rPr>
          <w:lang w:val="es-AR" w:eastAsia="es-AR" w:bidi="es-AR"/>
        </w:rPr>
      </w:pPr>
      <w:r>
        <w:rPr>
          <w:lang w:val="es-AR" w:eastAsia="es-AR" w:bidi="es-AR"/>
        </w:rPr>
        <w:t xml:space="preserve">Cabe señalar que la sentencia de grado no fijó una suma fija sino un mecanismo de determinación variable, consistente en el mayor valor entre el 30% de los haberes que el demandado perciba por todo concepto y el 60% de tres índices de crianza correspondientes a la franja etaria de los niños. Ese mecanismo responde a una técnica que esta Cámara comparte remarcando que es potestativa y que resulta adecuada cuando existen indicios fundados de que los ingresos formalmente declarados no reflejan la totalidad de la capacidad económica real del obligado; el índice de crianza operaría entonces como piso mínimo actualizable en resguardo del derecho alimentario de los niños, sin que ello implique presumir en forma automática la mala fe del alimentante, sino atender a la evolución del costo de vida en un contexto de deterioro del poder adquisitivo del salario.</w:t>
      </w:r>
    </w:p>
    <w:p>
      <w:pPr>
        <w:pStyle w:val="[Normal]"/>
        <w:spacing w:line="360" w:lineRule="auto"/>
        <w:ind w:firstLine="1134"/>
        <w:jc w:val="both"/>
        <w:rPr>
          <w:lang w:val="es-AR" w:eastAsia="es-AR" w:bidi="es-AR"/>
        </w:rPr>
      </w:pPr>
      <w:r>
        <w:rPr>
          <w:lang w:val="es-AR" w:eastAsia="es-AR" w:bidi="es-AR"/>
        </w:rPr>
        <w:t xml:space="preserve">Dicho lo anterior, no escapa a la consideración de este Tribunal que la cifra invocada por el apelante como resultante de la aplicación del mecanismo fijado representaría una proporción sumamente elevada en relación con sus haberes netos declarados, al punto de poder comprometer su propia subsistencia y, por consecuencia, su aptitud futura para continuar sosteniendo la obligación alimentaria. En este derrotero comparto el planteo en forma parcial y propongo que se modifique el porcentaje establecido por el aquo en un 60% de tres índices de crianza correspondiente a la franja etaria de los niños y fijándolo desde aquí  en un 45 %.</w:t>
      </w:r>
    </w:p>
    <w:p>
      <w:pPr>
        <w:pStyle w:val="[Normal]"/>
        <w:spacing w:line="360" w:lineRule="auto"/>
        <w:ind w:firstLine="1134"/>
        <w:jc w:val="both"/>
        <w:rPr>
          <w:lang w:val="es-AR" w:eastAsia="es-AR" w:bidi="es-AR"/>
        </w:rPr>
      </w:pPr>
      <w:r>
        <w:rPr>
          <w:lang w:val="es-AR" w:eastAsia="es-AR" w:bidi="es-AR"/>
        </w:rPr>
        <w:t xml:space="preserve">VII) El interés superior del niño como pauta rectora.</w:t>
      </w:r>
    </w:p>
    <w:p>
      <w:pPr>
        <w:pStyle w:val="[Normal]"/>
        <w:spacing w:line="360" w:lineRule="auto"/>
        <w:ind w:firstLine="1134"/>
        <w:jc w:val="both"/>
        <w:rPr>
          <w:lang w:val="es-AR" w:eastAsia="es-AR" w:bidi="es-AR"/>
        </w:rPr>
      </w:pPr>
      <w:r>
        <w:rPr>
          <w:lang w:val="es-AR" w:eastAsia="es-AR" w:bidi="es-AR"/>
        </w:rPr>
        <w:t xml:space="preserve">Por último, no puede perderse de vista que los tres niños de autos, de 9, 10 y 13 años de edad, son titulares de un derecho autónomo a un nivel de vida adecuado para su desarrollo físico, psíquico y social (arts. 3 y 27 de la Convención sobre los Derechos del Niño; art. 706 del Código Civil y Comercial), que no puede quedar subordinado a las controversias patrimoniales o probatorias que mantienen sus progenitores. La sentencia de grado, tras una valoración razonada y pormenorizada de la prueba producida, arribó a una solución que este Tribunal comparte en lo sustancial, por ajustarse tanto a la capacidad económica acreditada del alimentante como a las necesidades reales de los niños.</w:t>
      </w:r>
    </w:p>
    <w:p>
      <w:pPr>
        <w:pStyle w:val="[Normal]"/>
        <w:spacing w:line="360" w:lineRule="auto"/>
        <w:ind w:firstLine="1134"/>
        <w:jc w:val="both"/>
        <w:rPr>
          <w:lang w:val="es-AR" w:eastAsia="es-AR" w:bidi="es-AR"/>
        </w:rPr>
      </w:pPr>
      <w:r>
        <w:rPr>
          <w:lang w:val="es-AR" w:eastAsia="es-AR" w:bidi="es-AR"/>
        </w:rPr>
        <w:t xml:space="preserve">Las costas de Alzada se imponen al apelante, que resulta vencido en la totalidad de sus agravios, sin que se adviertan razones que justifiquen apartarse del principio objetivo de la derrota (art. 68 del C.P.C.C.).</w:t>
      </w:r>
    </w:p>
    <w:p>
      <w:pPr>
        <w:pStyle w:val="[Normal]"/>
        <w:spacing w:line="360" w:lineRule="auto"/>
        <w:ind w:firstLine="1134"/>
        <w:jc w:val="both"/>
        <w:rPr>
          <w:lang w:val="es-AR" w:eastAsia="es-AR" w:bidi="es-AR"/>
        </w:rPr>
      </w:pPr>
      <w:r>
        <w:rPr>
          <w:lang w:val="es-AR" w:eastAsia="es-AR" w:bidi="es-AR"/>
        </w:rPr>
        <w:t xml:space="preserve">Por todo lo expuesto, citas legales y jurisprudenciales, y lo dispuesto por los arts. 246, 260, 272, 384 y cctes. del C.P.C.C.; 3 y 27 de la Convención sobre los Derechos del Niño; 650, 658, 660, 706 y 710 del Código Civil y Comercial.</w:t>
      </w:r>
    </w:p>
    <w:p>
      <w:pPr>
        <w:pStyle w:val="[Normal]"/>
        <w:spacing w:line="360" w:lineRule="auto"/>
        <w:ind w:firstLine="1134"/>
        <w:jc w:val="both"/>
        <w:rPr>
          <w:lang w:val="es-AR" w:eastAsia="es-AR" w:bidi="es-AR"/>
        </w:rPr>
      </w:pPr>
      <w:r>
        <w:rPr>
          <w:lang w:val="es-AR" w:eastAsia="es-AR" w:bidi="es-AR"/>
        </w:rPr>
        <w:t xml:space="preserve">Por las razones dadas, citas legales de referencia y con el alcance indicado,</w:t>
      </w:r>
    </w:p>
    <w:p>
      <w:pPr>
        <w:pStyle w:val="[Normal]"/>
        <w:spacing w:line="360" w:lineRule="auto"/>
        <w:ind w:firstLine="1134"/>
        <w:jc w:val="both"/>
        <w:rPr>
          <w:lang w:val="es-AR" w:eastAsia="es-AR" w:bidi="es-AR"/>
        </w:rPr>
      </w:pPr>
      <w:r>
        <w:rPr>
          <w:b/>
          <w:lang w:val="es-AR" w:eastAsia="es-AR" w:bidi="es-AR"/>
        </w:rPr>
        <w:t xml:space="preserve">VOTO POR LA  AFIRMATIVA.</w:t>
      </w:r>
    </w:p>
    <w:p>
      <w:pPr>
        <w:pStyle w:val="[Normal]"/>
        <w:spacing w:line="360" w:lineRule="auto"/>
        <w:ind w:firstLine="1134"/>
        <w:jc w:val="both"/>
        <w:rPr>
          <w:lang w:val="es-AR" w:eastAsia="es-AR" w:bidi="es-AR"/>
        </w:rPr>
      </w:pPr>
      <w:r>
        <w:rPr>
          <w:lang w:val="es-AR" w:eastAsia="es-AR" w:bidi="es-AR"/>
        </w:rPr>
        <w:t xml:space="preserve">A la misma cuestión el señor Juez Roberto Degleue por análogos fundamentos votó en el mismo sentido.-</w:t>
      </w:r>
    </w:p>
    <w:p>
      <w:pPr>
        <w:pStyle w:val="[Normal]"/>
        <w:spacing w:line="360" w:lineRule="auto"/>
        <w:ind w:firstLine="1134"/>
        <w:jc w:val="both"/>
        <w:rPr>
          <w:lang w:val="es-AR" w:eastAsia="es-AR" w:bidi="es-AR"/>
        </w:rPr>
      </w:pPr>
      <w:r>
        <w:rPr>
          <w:lang w:val="es-AR" w:eastAsia="es-AR" w:bidi="es-AR"/>
        </w:rPr>
        <w:t xml:space="preserve">A la segunda cuestión la señora Jueza Graciela Scaraffia dijo: De conformidad al resultado habido al tratarse la cuestión precedente, estimo que el pronunciamiento que corresponde dictar es: </w:t>
      </w:r>
    </w:p>
    <w:p>
      <w:pPr>
        <w:pStyle w:val="[Normal]"/>
        <w:spacing w:line="360" w:lineRule="auto"/>
        <w:ind w:firstLine="1134"/>
        <w:jc w:val="both"/>
        <w:rPr>
          <w:lang w:val="es-AR" w:eastAsia="es-AR" w:bidi="es-AR"/>
        </w:rPr>
      </w:pPr>
      <w:r>
        <w:rPr>
          <w:lang w:val="es-AR" w:eastAsia="es-AR" w:bidi="es-AR"/>
        </w:rPr>
        <w:t xml:space="preserve">1) Acoger parcialmente el recurso de apelación interpuesto por el Sr. J. B. sólo en punto al índice de la canasta de crianza que se reduce conforme se explica en los considerandos del presente.</w:t>
      </w:r>
    </w:p>
    <w:p>
      <w:pPr>
        <w:pStyle w:val="[Normal]"/>
        <w:spacing w:line="360" w:lineRule="auto"/>
        <w:ind w:firstLine="1134"/>
        <w:jc w:val="both"/>
        <w:rPr>
          <w:lang w:val="es-AR" w:eastAsia="es-AR" w:bidi="es-AR"/>
        </w:rPr>
      </w:pPr>
      <w:r>
        <w:rPr>
          <w:lang w:val="es-AR" w:eastAsia="es-AR" w:bidi="es-AR"/>
        </w:rPr>
        <w:t xml:space="preserve">Confirmar en todo lo demás  la sentencia definitiva dictada en fecha 22 de mayo de 2026 .</w:t>
      </w:r>
    </w:p>
    <w:p>
      <w:pPr>
        <w:pStyle w:val="[Normal]"/>
        <w:spacing w:line="360" w:lineRule="auto"/>
        <w:ind w:firstLine="1134"/>
        <w:jc w:val="both"/>
        <w:rPr>
          <w:lang w:val="es-AR" w:eastAsia="es-AR" w:bidi="es-AR"/>
        </w:rPr>
      </w:pPr>
      <w:r>
        <w:rPr>
          <w:lang w:val="es-AR" w:eastAsia="es-AR" w:bidi="es-AR"/>
        </w:rPr>
        <w:t xml:space="preserve">2) Aclarar que la valoración del automóvil Volkswagen Voyage 2017 y del inmueble objeto de la acción reivindicatoria (Expte. Nº 89656) como indicios de capacidad económica no importa reconocerlos como patrimonio líquido disponible del alimentante, sin que ello altere el mecanismo de determinación de la cuota fijado en la instancia de grado.</w:t>
      </w:r>
    </w:p>
    <w:p>
      <w:pPr>
        <w:pStyle w:val="[Normal]"/>
        <w:spacing w:line="360" w:lineRule="auto"/>
        <w:ind w:firstLine="1134"/>
        <w:jc w:val="both"/>
        <w:rPr>
          <w:lang w:val="es-AR" w:eastAsia="es-AR" w:bidi="es-AR"/>
        </w:rPr>
      </w:pPr>
      <w:r>
        <w:rPr>
          <w:lang w:val="es-AR" w:eastAsia="es-AR" w:bidi="es-AR"/>
        </w:rPr>
        <w:t xml:space="preserve">3) Imponer las costas de Alzada al apelante vencido (art. 68 del C.P.C.C.), conforme la naturaleza de la pretensión.-</w:t>
      </w:r>
    </w:p>
    <w:p>
      <w:pPr>
        <w:pStyle w:val="[Normal]"/>
        <w:spacing w:line="360" w:lineRule="auto"/>
        <w:ind w:firstLine="1134"/>
        <w:jc w:val="both"/>
        <w:rPr>
          <w:lang w:val="es-AR" w:eastAsia="es-AR" w:bidi="es-AR"/>
        </w:rPr>
      </w:pPr>
      <w:r>
        <w:rPr>
          <w:lang w:val="es-AR" w:eastAsia="es-AR" w:bidi="es-AR"/>
        </w:rPr>
        <w:t xml:space="preserve">4) Diferir la regulación de honorarios de Alzada para su oportunidad procesal.</w:t>
      </w:r>
    </w:p>
    <w:p>
      <w:pPr>
        <w:pStyle w:val="[Normal]"/>
        <w:spacing w:line="360" w:lineRule="auto"/>
        <w:ind w:firstLine="1134"/>
        <w:jc w:val="both"/>
        <w:rPr>
          <w:lang w:val="es-AR" w:eastAsia="es-AR" w:bidi="es-AR"/>
        </w:rPr>
      </w:pPr>
      <w:r>
        <w:rPr>
          <w:b/>
          <w:lang w:val="es-AR" w:eastAsia="es-AR" w:bidi="es-AR"/>
        </w:rPr>
        <w:t xml:space="preserve">ASI LO VOTO. </w:t>
      </w:r>
    </w:p>
    <w:p>
      <w:pPr>
        <w:pStyle w:val="[Normal]"/>
        <w:spacing w:line="360" w:lineRule="auto"/>
        <w:ind w:firstLine="1134"/>
        <w:jc w:val="both"/>
        <w:rPr>
          <w:lang w:val="es-AR" w:eastAsia="es-AR" w:bidi="es-AR"/>
        </w:rPr>
      </w:pPr>
      <w:r>
        <w:rPr>
          <w:lang w:val="es-AR" w:eastAsia="es-AR" w:bidi="es-AR"/>
        </w:rPr>
        <w:t xml:space="preserve">A la misma cuestión el señor Juez Roberto Degleue por análogos fundamentos votó en el mismo sentido.-</w:t>
      </w:r>
    </w:p>
    <w:p>
      <w:pPr>
        <w:pStyle w:val="[Normal]"/>
        <w:spacing w:line="360" w:lineRule="auto"/>
        <w:ind w:firstLine="1134"/>
        <w:jc w:val="both"/>
        <w:rPr>
          <w:lang w:val="es-AR" w:eastAsia="es-AR" w:bidi="es-AR"/>
        </w:rPr>
      </w:pPr>
      <w:r>
        <w:rPr>
          <w:lang w:val="es-AR" w:eastAsia="es-AR" w:bidi="es-AR"/>
        </w:rPr>
        <w:t xml:space="preserve">Con lo que terminó el presente Acuerdo, dictándose la siguiente;</w:t>
      </w:r>
    </w:p>
    <w:p>
      <w:pPr>
        <w:pStyle w:val="[Normal]"/>
        <w:spacing w:line="360" w:lineRule="auto"/>
        <w:ind w:firstLine="1134"/>
        <w:jc w:val="both"/>
        <w:rPr>
          <w:b/>
          <w:u w:val="single"/>
          <w:lang w:val="es-AR" w:eastAsia="es-AR" w:bidi="es-AR"/>
        </w:rPr>
      </w:pPr>
      <w:r>
        <w:rPr>
          <w:b/>
          <w:u w:val="single"/>
          <w:lang w:val="es-AR" w:eastAsia="es-AR" w:bidi="es-AR"/>
        </w:rPr>
        <w:t xml:space="preserve">S E N T E N C I A</w:t>
      </w:r>
      <w:r>
        <w:rPr>
          <w:u w:val="single"/>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1) Acoger parcialmente el recurso de apelación interpuesto por el Sr. J. B. sólo en punto al índice de la canasta de crianza que se reduce conforme se explica en los considerandos del presente.</w:t>
      </w:r>
    </w:p>
    <w:p>
      <w:pPr>
        <w:pStyle w:val="[Normal]"/>
        <w:spacing w:line="360" w:lineRule="auto"/>
        <w:ind w:firstLine="1134"/>
        <w:jc w:val="both"/>
        <w:rPr>
          <w:lang w:val="es-AR" w:eastAsia="es-AR" w:bidi="es-AR"/>
        </w:rPr>
      </w:pPr>
      <w:r>
        <w:rPr>
          <w:lang w:val="es-AR" w:eastAsia="es-AR" w:bidi="es-AR"/>
        </w:rPr>
        <w:t xml:space="preserve">Confirmar en todo lo demás  la sentencia definitiva dictada en fecha 22 de mayo de 2026 .</w:t>
      </w:r>
    </w:p>
    <w:p>
      <w:pPr>
        <w:pStyle w:val="[Normal]"/>
        <w:spacing w:line="360" w:lineRule="auto"/>
        <w:ind w:firstLine="1134"/>
        <w:jc w:val="both"/>
        <w:rPr>
          <w:lang w:val="es-AR" w:eastAsia="es-AR" w:bidi="es-AR"/>
        </w:rPr>
      </w:pPr>
      <w:r>
        <w:rPr>
          <w:lang w:val="es-AR" w:eastAsia="es-AR" w:bidi="es-AR"/>
        </w:rPr>
        <w:t xml:space="preserve">2) Aclarar que la valoración del automóvil Volkswagen Voyage 2017 y del inmueble objeto de la acción reivindicatoria (Expte. Nº 89656) como indicios de capacidad económica no importa reconocerlos como patrimonio líquido disponible del alimentante, sin que ello altere el mecanismo de determinación de la cuota fijado en la instancia de grado.</w:t>
      </w:r>
    </w:p>
    <w:p>
      <w:pPr>
        <w:pStyle w:val="[Normal]"/>
        <w:spacing w:line="360" w:lineRule="auto"/>
        <w:ind w:firstLine="1134"/>
        <w:jc w:val="both"/>
        <w:rPr>
          <w:lang w:val="es-AR" w:eastAsia="es-AR" w:bidi="es-AR"/>
        </w:rPr>
      </w:pPr>
      <w:r>
        <w:rPr>
          <w:lang w:val="es-AR" w:eastAsia="es-AR" w:bidi="es-AR"/>
        </w:rPr>
        <w:t xml:space="preserve">3) Imponer las costas de Alzada al apelante vencido (art. 68 del C.P.C.C.), conforme la naturaleza de la pretensión.-</w:t>
      </w:r>
    </w:p>
    <w:p>
      <w:pPr>
        <w:pStyle w:val="[Normal]"/>
        <w:spacing w:line="360" w:lineRule="auto"/>
        <w:ind w:firstLine="1134"/>
        <w:jc w:val="both"/>
        <w:rPr>
          <w:lang w:val="es-AR" w:eastAsia="es-AR" w:bidi="es-AR"/>
        </w:rPr>
      </w:pPr>
      <w:r>
        <w:rPr>
          <w:lang w:val="es-AR" w:eastAsia="es-AR" w:bidi="es-AR"/>
        </w:rPr>
        <w:t xml:space="preserve">4) Diferir la regulación de honorarios de Alzada para su oportunidad procesal.</w:t>
      </w:r>
    </w:p>
    <w:p>
      <w:pPr>
        <w:pStyle w:val="[Normal]"/>
        <w:rPr>
          <w:lang w:val="es-AR" w:eastAsia="es-AR" w:bidi="es-AR"/>
        </w:rPr>
      </w:pPr>
      <w:r>
        <w:rPr>
          <w:lang w:val="es-AR" w:eastAsia="es-AR" w:bidi="es-AR"/>
        </w:rPr>
        <w:t xml:space="preserve">Regístrese. Notifíquese por Secretaría (Ac. 4013 y mod. SCBA) remitiéndose copia digital de la presente sentencia a los domicilios electrónicos de las respectivas partes. Devuélvase.</w:t>
      </w:r>
    </w:p>
    <w:sectPr>
      <w:pgSz w:w="11906" w:h="16832"/>
      <w:pgMar w:top="2835" w:right="850" w:bottom="1134" w:left="2835" w:header="567" w:footer="567"/>
      <w:pgBorders w:display="allPages" w:offsetFrom="page"/>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s>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bordersDoNotSurroundFooter/>
  <w:defaultTabStop w:val="1134"/>
  <w:compat>
    <w:noExtraLineSpacing/>
  </w:compat>
  <tx24:txVer tx24:val="25.0.323.500"/>
</w:settings>
</file>

<file path=word/styles.xml><?xml version="1.0" encoding="utf-8"?>
<w:styles xmlns:w="http://schemas.openxmlformats.org/wordprocessingml/2006/main">
  <w:docDefaults>
    <w:rPrDefault>
      <w:rPr>
        <w:rFonts w:ascii="Arial"/>
        <w:sz w:val="24"/>
      </w:rPr>
    </w:rPrDefault>
  </w:docDefaults>
  <w:style w:type="paragraph" w:styleId="[Normal]" w:default="1">
    <w:name w:val="[Normal]"/>
    <w:next w:val="[Normal]"/>
    <w:qFormat/>
    <w:pPr>
      <w:widowControl w:val="off"/>
      <w:shd w:val="clear" w:color="auto" w:fill="auto"/>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line="240" w:lineRule="auto"/>
      <w:ind w:left="0" w:right="0" w:firstLine="0"/>
      <w:jc w:val="left"/>
    </w:pPr>
    <w:rPr>
      <w:rFonts w:ascii="Arial" w:hAnsi="Arial" w:eastAsia="Arial" w:cs="Arial"/>
      <w:b w:val="off"/>
      <w:bCs w:val="off"/>
      <w:i w:val="off"/>
      <w:iCs w:val="off"/>
      <w:strike w:val="off"/>
      <w:color w:val="auto"/>
      <w:position w:val="0"/>
      <w:sz w:val="24"/>
      <w:szCs w:val="24"/>
      <w:shd w:val="clear" w:color="auto" w:fill="auto"/>
      <w:rtl w:val="off"/>
      <w:lang w:val="x-none" w:eastAsia="x-none" w:bidi="x-none"/>
    </w:rPr>
  </w:style>
</w:styles>
</file>

<file path=word/_rels/document.xml.rels><?xml version="1.0" encoding="UTF-8" standalone="yes"?><Relationships xmlns="http://schemas.openxmlformats.org/package/2006/relationships">
	<Relationship Id="rId00002" Type="http://schemas.openxmlformats.org/officeDocument/2006/relationships/styles" Target="styles.xml"/>
	<Relationship Id="rId00003" Type="http://schemas.openxmlformats.org/officeDocument/2006/relationships/fontTable" Target="fontTable.xml"/>
	<Relationship Id="rId00004" Type="http://schemas.openxmlformats.org/officeDocument/2006/relationships/settings" Target="settings.xml"/>
</Relationships>
</file>