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bin" ContentType="application/vnd.openxmlformats-officedocument.oleObject"/>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mc:Ignorable="w14 w15 tx19 tx23">
  <w:body>
    <w:p>
      <w:pPr>
        <w:pStyle w:val="[Normal]"/>
        <w:spacing w:line="360" w:lineRule="auto"/>
        <w:ind w:firstLine="1134"/>
        <w:jc w:val="both"/>
        <w:rPr>
          <w:lang w:val="es-AR" w:eastAsia="es-AR" w:bidi="es-AR"/>
        </w:rPr>
      </w:pPr>
      <w:r>
        <w:rPr>
          <w:lang w:val="es-AR" w:eastAsia="es-AR" w:bidi="es-AR"/>
        </w:rPr>
        <w:t xml:space="preserve"> En la ciudad de Pergamino, reunidos en Acuerdo Ordinario los Sres. Jueces de la Excma. Cámara de Apelación en lo Civil y Comercial del Departamento Judicial Pergamino, para dictar sentencia en la causa N° </w:t>
      </w:r>
      <w:r>
        <w:rPr>
          <w:color w:val="000000"/>
          <w:lang w:val="es-AR" w:eastAsia="es-AR" w:bidi="es-AR"/>
        </w:rPr>
        <w:t xml:space="preserve">6192-26</w:t>
      </w:r>
      <w:r>
        <w:rPr>
          <w:lang w:val="es-AR" w:eastAsia="es-AR" w:bidi="es-AR"/>
        </w:rPr>
        <w:t xml:space="preserve"> caratulada </w:t>
      </w:r>
      <w:r>
        <w:rPr>
          <w:b/>
          <w:lang w:val="es-AR" w:eastAsia="es-AR" w:bidi="es-AR"/>
        </w:rPr>
        <w:t xml:space="preserve">"</w:t>
      </w:r>
      <w:r>
        <w:rPr>
          <w:b/>
          <w:color w:val="000000"/>
          <w:lang w:val="es-AR" w:eastAsia="es-AR" w:bidi="es-AR"/>
        </w:rPr>
        <w:t xml:space="preserve">CEJAS, JUAN CARLOS S/ BENEFICIO DE LITIGAR SIN GASTOS</w:t>
      </w:r>
      <w:r>
        <w:rPr>
          <w:b/>
          <w:lang w:val="es-AR" w:eastAsia="es-AR" w:bidi="es-AR"/>
        </w:rPr>
        <w:t xml:space="preserve">"</w:t>
      </w:r>
      <w:r>
        <w:rPr>
          <w:lang w:val="es-AR" w:eastAsia="es-AR" w:bidi="es-AR"/>
        </w:rPr>
        <w:t xml:space="preserve">, Expte. </w:t>
      </w:r>
      <w:r>
        <w:rPr>
          <w:color w:val="000000"/>
          <w:lang w:val="es-AR" w:eastAsia="es-AR" w:bidi="es-AR"/>
        </w:rPr>
        <w:t xml:space="preserve">47.507</w:t>
      </w:r>
      <w:r>
        <w:rPr>
          <w:color w:val="000000"/>
          <w:lang w:val="es-AR" w:eastAsia="es-AR" w:bidi="es-AR"/>
        </w:rPr>
        <w:t xml:space="preserve"> </w:t>
      </w:r>
      <w:r>
        <w:rPr>
          <w:lang w:val="es-AR" w:eastAsia="es-AR" w:bidi="es-AR"/>
        </w:rPr>
        <w:t xml:space="preserve">del Juzgado de Paz de Colón, se practicó el sorteo de ley que determinó que la votación debía efectuarse en el siguiente orden: Graciela Scaraffia y Roberto Degleue, y estudiados los autos se resolvió plantear y votar las siguientes: </w:t>
      </w:r>
    </w:p>
    <w:p>
      <w:pPr>
        <w:pStyle w:val="[Normal]"/>
        <w:spacing w:line="360" w:lineRule="auto"/>
        <w:ind w:firstLine="1134"/>
        <w:jc w:val="both"/>
        <w:rPr>
          <w:lang w:val="es-AR" w:eastAsia="es-AR" w:bidi="es-AR"/>
        </w:rPr>
      </w:pPr>
      <w:r>
        <w:rPr>
          <w:b/>
          <w:lang w:val="es-AR" w:eastAsia="es-AR" w:bidi="es-AR"/>
        </w:rPr>
        <w:t xml:space="preserve">C U E S T I O N E S</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I) ¿Se ajusta a derecho la sentencia apelada?</w:t>
      </w:r>
    </w:p>
    <w:p>
      <w:pPr>
        <w:pStyle w:val="[Normal]"/>
        <w:spacing w:line="360" w:lineRule="auto"/>
        <w:ind w:firstLine="1134"/>
        <w:jc w:val="both"/>
        <w:rPr>
          <w:lang w:val="es-AR" w:eastAsia="es-AR" w:bidi="es-AR"/>
        </w:rPr>
      </w:pPr>
      <w:r>
        <w:rPr>
          <w:lang w:val="es-AR" w:eastAsia="es-AR" w:bidi="es-AR"/>
        </w:rPr>
        <w:t xml:space="preserve">II) ¿Qué pronunciamiento corresponde dictar?</w:t>
      </w:r>
    </w:p>
    <w:p>
      <w:pPr>
        <w:pStyle w:val="[Normal]"/>
        <w:spacing w:line="360" w:lineRule="auto"/>
        <w:ind w:firstLine="1134"/>
        <w:jc w:val="both"/>
        <w:rPr>
          <w:lang w:val="es-AR" w:eastAsia="es-AR" w:bidi="es-AR"/>
        </w:rPr>
      </w:pPr>
      <w:r>
        <w:rPr>
          <w:lang w:val="es-AR" w:eastAsia="es-AR" w:bidi="es-AR"/>
        </w:rPr>
        <w:t xml:space="preserve">A la primera cuestión la señora Jueza Graciela Scaraffia dijo:</w:t>
      </w:r>
    </w:p>
    <w:p>
      <w:pPr>
        <w:pStyle w:val="[Normal]"/>
        <w:spacing w:line="360" w:lineRule="auto"/>
        <w:ind w:firstLine="1134"/>
        <w:jc w:val="both"/>
        <w:rPr>
          <w:lang w:val="es-AR" w:eastAsia="es-AR" w:bidi="es-AR"/>
        </w:rPr>
      </w:pPr>
      <w:r>
        <w:rPr>
          <w:lang w:val="es-AR" w:eastAsia="es-AR" w:bidi="es-AR"/>
        </w:rPr>
        <w:t xml:space="preserve">El Sr. Juez de la anterior instancia no hizo lugar al pedido de nulidad efectuado por el demandado.  Costas a la vencida. art 68 del C.P.C.C..</w:t>
      </w:r>
    </w:p>
    <w:p>
      <w:pPr>
        <w:pStyle w:val="[Normal]"/>
        <w:spacing w:line="360" w:lineRule="auto"/>
        <w:ind w:firstLine="1134"/>
        <w:jc w:val="both"/>
        <w:rPr>
          <w:lang w:val="es-AR" w:eastAsia="es-AR" w:bidi="es-AR"/>
        </w:rPr>
      </w:pPr>
      <w:r>
        <w:rPr>
          <w:lang w:val="es-AR" w:eastAsia="es-AR" w:bidi="es-AR"/>
        </w:rPr>
        <w:t xml:space="preserve">Tal decisorio fue objeto del recurso de apelación interpuesto el día 5-3-2026 por la parte demandada, fundado el 12-3-2026 y del mismo traslado a la actora, quien el 16-3-2026 lo evacuó.</w:t>
      </w:r>
    </w:p>
    <w:p>
      <w:pPr>
        <w:pStyle w:val="[Normal]"/>
        <w:spacing w:line="360" w:lineRule="auto"/>
        <w:ind w:firstLine="1134"/>
        <w:jc w:val="both"/>
        <w:rPr>
          <w:lang w:val="es-AR" w:eastAsia="es-AR" w:bidi="es-AR"/>
        </w:rPr>
      </w:pPr>
      <w:r>
        <w:rPr>
          <w:lang w:val="es-AR" w:eastAsia="es-AR" w:bidi="es-AR"/>
        </w:rPr>
        <w:t xml:space="preserve">Elevados los autos a esta Alzada con fecha 20-8-2026 llamamiento de autos, providencia, que firme a la fecha deja la causa en condiciones de ser fallada.-</w:t>
      </w:r>
    </w:p>
    <w:p>
      <w:pPr>
        <w:pStyle w:val="[Normal]"/>
        <w:spacing w:line="360" w:lineRule="auto"/>
        <w:ind w:firstLine="1134"/>
        <w:jc w:val="both"/>
        <w:rPr>
          <w:lang w:val="es-AR" w:eastAsia="es-AR" w:bidi="es-AR"/>
        </w:rPr>
      </w:pPr>
      <w:r>
        <w:rPr>
          <w:lang w:val="es-AR" w:eastAsia="es-AR" w:bidi="es-AR"/>
        </w:rPr>
        <w:t xml:space="preserve">1) Antecedentes de la causa:</w:t>
      </w:r>
    </w:p>
    <w:p>
      <w:pPr>
        <w:pStyle w:val="[Normal]"/>
        <w:spacing w:line="360" w:lineRule="auto"/>
        <w:ind w:firstLine="1134"/>
        <w:jc w:val="both"/>
        <w:rPr>
          <w:lang w:val="es-AR" w:eastAsia="es-AR" w:bidi="es-AR"/>
        </w:rPr>
      </w:pPr>
      <w:r>
        <w:rPr>
          <w:lang w:val="es-AR" w:eastAsia="es-AR" w:bidi="es-AR"/>
        </w:rPr>
        <w:t xml:space="preserve">El beneficio de litigar sin gastos fue iniciado en favor de Juan Carlos Cejas y pedido por la Defensoría el día 25 de noviembre de 2024, completando la planilla de rigor con sus datos personales, el motivo de la solicitud y su situación económica, resultando designada como defensora en primer término la Dra. Romina Donati y, posteriormente, la Dra. María Eugenia Sánchez.</w:t>
      </w:r>
    </w:p>
    <w:p>
      <w:pPr>
        <w:pStyle w:val="[Normal]"/>
        <w:spacing w:line="360" w:lineRule="auto"/>
        <w:ind w:firstLine="1134"/>
        <w:jc w:val="both"/>
        <w:rPr>
          <w:lang w:val="es-AR" w:eastAsia="es-AR" w:bidi="es-AR"/>
        </w:rPr>
      </w:pPr>
      <w:r>
        <w:rPr>
          <w:lang w:val="es-AR" w:eastAsia="es-AR" w:bidi="es-AR"/>
        </w:rPr>
        <w:t xml:space="preserve">Que con fecha 4 de noviembre de 2025 se corrió traslado a la contraria en los términos del art. 81 y cctes. del C.P.C.C. respecto de la declaración de tres testigos ofrecida por la parte actora, traslado que fuera contestado por la Dra. María Eugenia Sánchez en su carácter de defensora de oficio designada.</w:t>
      </w:r>
    </w:p>
    <w:p>
      <w:pPr>
        <w:pStyle w:val="[Normal]"/>
        <w:spacing w:line="360" w:lineRule="auto"/>
        <w:ind w:firstLine="1134"/>
        <w:jc w:val="both"/>
        <w:rPr>
          <w:lang w:val="es-AR" w:eastAsia="es-AR" w:bidi="es-AR"/>
        </w:rPr>
      </w:pPr>
      <w:r>
        <w:rPr>
          <w:lang w:val="es-AR" w:eastAsia="es-AR" w:bidi="es-AR"/>
        </w:rPr>
        <w:t xml:space="preserve">La Sra. Stella Maris Carrizo, con el patrocinio de la Dra. Lara Costamagna, se presentó en autos planteando la nulidad de la presentación inicial del beneficio, por considerar que la misma carecía de una exposición clara y circunstanciada de los hechos que fundaran la carencia de recursos alegada (arts. 78, 79, 178 y 330 inc. 4º del C.P.C.C.), invocando además la afectación del derecho de defensa en juicio (art. 18 C.N.) y de las garantías previstas en los arts. 8 y 25 de la C.A.D.H..</w:t>
      </w:r>
    </w:p>
    <w:p>
      <w:pPr>
        <w:pStyle w:val="[Normal]"/>
        <w:spacing w:line="360" w:lineRule="auto"/>
        <w:ind w:firstLine="1134"/>
        <w:jc w:val="both"/>
        <w:rPr>
          <w:lang w:val="es-AR" w:eastAsia="es-AR" w:bidi="es-AR"/>
        </w:rPr>
      </w:pPr>
      <w:r>
        <w:rPr>
          <w:lang w:val="es-AR" w:eastAsia="es-AR" w:bidi="es-AR"/>
        </w:rPr>
        <w:t xml:space="preserve">Sustanciado el incidente, la Sra. Jueza de grado resolvió no hacer lugar al pedido de nulidad, con costas a la vencida (art. 68 C.P.C.C.), por entender que no se advertían vicios en el procedimiento que hubieran afectado el derecho de defensa de la incidentista, quien fue notificada, se presentó y ejerció sus derechos, sin haber alegado ni acreditado un perjuicio concreto, conforme al principio de trascendencia que rige la materia de nulidades procesales.</w:t>
      </w:r>
    </w:p>
    <w:p>
      <w:pPr>
        <w:pStyle w:val="[Normal]"/>
        <w:spacing w:line="360" w:lineRule="auto"/>
        <w:ind w:firstLine="1134"/>
        <w:jc w:val="both"/>
        <w:rPr>
          <w:lang w:val="es-AR" w:eastAsia="es-AR" w:bidi="es-AR"/>
        </w:rPr>
      </w:pPr>
      <w:r>
        <w:rPr>
          <w:lang w:val="es-AR" w:eastAsia="es-AR" w:bidi="es-AR"/>
        </w:rPr>
        <w:t xml:space="preserve">2) Los agravios de la apelante: </w:t>
      </w:r>
    </w:p>
    <w:p>
      <w:pPr>
        <w:pStyle w:val="[Normal]"/>
        <w:spacing w:line="360" w:lineRule="auto"/>
        <w:ind w:firstLine="1134"/>
        <w:jc w:val="both"/>
        <w:rPr>
          <w:lang w:val="es-AR" w:eastAsia="es-AR" w:bidi="es-AR"/>
        </w:rPr>
      </w:pPr>
      <w:r>
        <w:rPr>
          <w:lang w:val="es-AR" w:eastAsia="es-AR" w:bidi="es-AR"/>
        </w:rPr>
        <w:t xml:space="preserve">Cuestiona la resolución de grado sobre la base de los siguientes planteos: 1) que el análisis del planteo de nulidad efectuado por la Sra. Jueza sería meramente aparente, al no examinar concretamente los vicios denunciados; 2) que se habría aplicado erróneamente el principio de trascendencia de las nulidades, en tanto el perjuicio sí fue señalado por esta parte al momento de promover la incidencia; 3) que existiría una irregularidad en la contestación del traslado efectuada por la Dra. María Eugenia Sánchez, por carecer de representación suficiente o acreditación adecuada del peticionante; 4) que se habría omitido controlar los requisitos sustanciales del beneficio de litigar sin gastos; y 5) que resultaría improcedente la imposición de costas a su parte, por haber mediado razón valedera para litigar.</w:t>
      </w:r>
    </w:p>
    <w:p>
      <w:pPr>
        <w:pStyle w:val="[Normal]"/>
        <w:spacing w:line="360" w:lineRule="auto"/>
        <w:ind w:firstLine="1134"/>
        <w:jc w:val="both"/>
        <w:rPr>
          <w:lang w:val="es-AR" w:eastAsia="es-AR" w:bidi="es-AR"/>
        </w:rPr>
      </w:pPr>
      <w:r>
        <w:rPr>
          <w:lang w:val="es-AR" w:eastAsia="es-AR" w:bidi="es-AR"/>
        </w:rPr>
        <w:t xml:space="preserve">La contraria contestó el traslado del memorial solicitando el rechazo del recurso y la confirmación de la resolución apelada, con costas, por considerar que los agravios no logran conmover los fundamentos del decisorio recurrido.</w:t>
      </w:r>
    </w:p>
    <w:p>
      <w:pPr>
        <w:pStyle w:val="[Normal]"/>
        <w:spacing w:line="360" w:lineRule="auto"/>
        <w:ind w:firstLine="1134"/>
        <w:jc w:val="both"/>
        <w:rPr>
          <w:lang w:val="es-AR" w:eastAsia="es-AR" w:bidi="es-AR"/>
        </w:rPr>
      </w:pPr>
      <w:r>
        <w:rPr>
          <w:lang w:val="es-AR" w:eastAsia="es-AR" w:bidi="es-AR"/>
        </w:rPr>
        <w:t xml:space="preserve">3) Tratamiento: </w:t>
      </w:r>
    </w:p>
    <w:p>
      <w:pPr>
        <w:pStyle w:val="[Normal]"/>
        <w:spacing w:line="360" w:lineRule="auto"/>
        <w:ind w:firstLine="1134"/>
        <w:jc w:val="both"/>
        <w:rPr>
          <w:lang w:val="es-AR" w:eastAsia="es-AR" w:bidi="es-AR"/>
        </w:rPr>
      </w:pPr>
      <w:r>
        <w:rPr>
          <w:lang w:val="es-AR" w:eastAsia="es-AR" w:bidi="es-AR"/>
        </w:rPr>
        <w:t xml:space="preserve">a) Sobre la fundamentación de la resolución apelada (primer agravio).</w:t>
      </w:r>
    </w:p>
    <w:p>
      <w:pPr>
        <w:pStyle w:val="[Normal]"/>
        <w:spacing w:line="360" w:lineRule="auto"/>
        <w:ind w:firstLine="1134"/>
        <w:jc w:val="both"/>
        <w:rPr>
          <w:lang w:val="es-AR" w:eastAsia="es-AR" w:bidi="es-AR"/>
        </w:rPr>
      </w:pPr>
      <w:r>
        <w:rPr>
          <w:lang w:val="es-AR" w:eastAsia="es-AR" w:bidi="es-AR"/>
        </w:rPr>
        <w:t xml:space="preserve">Contrariamente a lo sostenido por la apelante, la resolución en crisis no exhibe una fundamentación meramente aparente.  En efecto, la Sra. Jueza de grado examinó puntualmente el trámite impreso a la solicitud del beneficio -la presentación de la planilla, los datos aportados, la notificación cursada a la contraria, su efectiva comparecencia y el ejercicio de sus derechos- para concluir, con sustento en las constancias objetivas de la causa, que no se verificaba vicio alguno que hubiera colocado a la incidentista en estado de indefensión.  Que la circunstancia de que la valoración del a quo no coincida con la postura de la recurrente no equivale a ausencia de fundamentación, por lo que este agravio no puede prosperar.</w:t>
      </w:r>
    </w:p>
    <w:p>
      <w:pPr>
        <w:pStyle w:val="[Normal]"/>
        <w:spacing w:line="360" w:lineRule="auto"/>
        <w:ind w:firstLine="1134"/>
        <w:jc w:val="both"/>
        <w:rPr>
          <w:lang w:val="es-AR" w:eastAsia="es-AR" w:bidi="es-AR"/>
        </w:rPr>
      </w:pPr>
      <w:r>
        <w:rPr>
          <w:lang w:val="es-AR" w:eastAsia="es-AR" w:bidi="es-AR"/>
        </w:rPr>
        <w:t xml:space="preserve">b) Sobre el principio de trascendencia de las nulidades (segundo agravio).</w:t>
      </w:r>
    </w:p>
    <w:p>
      <w:pPr>
        <w:pStyle w:val="[Normal]"/>
        <w:spacing w:line="360" w:lineRule="auto"/>
        <w:ind w:firstLine="1134"/>
        <w:jc w:val="both"/>
        <w:rPr>
          <w:lang w:val="es-AR" w:eastAsia="es-AR" w:bidi="es-AR"/>
        </w:rPr>
      </w:pPr>
      <w:r>
        <w:rPr>
          <w:lang w:val="es-AR" w:eastAsia="es-AR" w:bidi="es-AR"/>
        </w:rPr>
        <w:t xml:space="preserve">Es doctrina y jurisprudencia consolidada que las nulidades procesales son de carácter relativo y no se declaran en el solo interés de la ley, requiriendo la demostración de un perjuicio cierto y concreto que las irregularidades denunciadas hubieran ocasionado, con incidencia efectiva en el derecho de defensa del nulidicente (arts. 169 y 172 del C.P.C.C.).  Que, tal como fuera correctamente señalado en la instancia de grado, no basta la mera invocación genérica del quebrantamiento de formas procesales, sino que es carga de quien la invoca precisar qué defensas concretas se vio privado de oponer a raíz del vicio denunciado.  Que en el caso, la recurrente reitera en esta instancia idénticas manifestaciones genéricas a las ya vertidas al promover el incidente, sin identificar con precisión qué actos de defensa le fueron vedados como consecuencia de la pretendida falencia en la exposición de los hechos de la solicitud inicial, máxime cuando -como surge de las constancias de autos- fue notificada, compareció, conoció el objeto del trámite y ejerció efectivamente su derecho de oposición.  Por lo expuesto, corresponde rechazar este agravio.</w:t>
      </w:r>
    </w:p>
    <w:p>
      <w:pPr>
        <w:pStyle w:val="[Normal]"/>
        <w:spacing w:line="360" w:lineRule="auto"/>
        <w:ind w:firstLine="1134"/>
        <w:jc w:val="both"/>
        <w:rPr>
          <w:lang w:val="es-AR" w:eastAsia="es-AR" w:bidi="es-AR"/>
        </w:rPr>
      </w:pPr>
      <w:r>
        <w:rPr>
          <w:lang w:val="es-AR" w:eastAsia="es-AR" w:bidi="es-AR"/>
        </w:rPr>
        <w:t xml:space="preserve">c) Sobre la actuación de la defensora oficial en la contestación del traslado (tercer agravio).</w:t>
      </w:r>
    </w:p>
    <w:p>
      <w:pPr>
        <w:pStyle w:val="[Normal]"/>
        <w:spacing w:line="360" w:lineRule="auto"/>
        <w:ind w:firstLine="1134"/>
        <w:jc w:val="both"/>
        <w:rPr>
          <w:lang w:val="es-AR" w:eastAsia="es-AR" w:bidi="es-AR"/>
        </w:rPr>
      </w:pPr>
      <w:r>
        <w:rPr>
          <w:lang w:val="es-AR" w:eastAsia="es-AR" w:bidi="es-AR"/>
        </w:rPr>
        <w:t xml:space="preserve">La designación de un defensor o defensora de pobres y ausentes conforme a los arts. 78 y cctes. del C.P.C.C. importa el otorgamiento de la representación procesal necesaria para intervenir en el trámite del beneficio, incluida la contestación de los traslados que en su curso se confieran, sin que resulte exigible la ratificación personal o la firma conjunta del asistido para la validez de tales actos, que hacen a la función específica encomendada al defensor oficial. Que la apelante no ha demostrado -ni siquiera ha invocado con precisión- en qué modo dicha intervención le hubiera generado un perjuicio concreto distinto del ya tratado en el punto precedente.  En consecuencia, este agravio tampoco puede prosperar.</w:t>
      </w:r>
    </w:p>
    <w:p>
      <w:pPr>
        <w:pStyle w:val="[Normal]"/>
        <w:spacing w:line="360" w:lineRule="auto"/>
        <w:ind w:firstLine="1134"/>
        <w:jc w:val="both"/>
        <w:rPr>
          <w:lang w:val="es-AR" w:eastAsia="es-AR" w:bidi="es-AR"/>
        </w:rPr>
      </w:pPr>
      <w:r>
        <w:rPr>
          <w:lang w:val="es-AR" w:eastAsia="es-AR" w:bidi="es-AR"/>
        </w:rPr>
        <w:t xml:space="preserve">d) Sobre el control de los requisitos sustanciales del beneficio (cuarto agravio).</w:t>
      </w:r>
    </w:p>
    <w:p>
      <w:pPr>
        <w:pStyle w:val="[Normal]"/>
        <w:spacing w:line="360" w:lineRule="auto"/>
        <w:ind w:firstLine="1134"/>
        <w:jc w:val="both"/>
        <w:rPr>
          <w:lang w:val="es-AR" w:eastAsia="es-AR" w:bidi="es-AR"/>
        </w:rPr>
      </w:pPr>
      <w:r>
        <w:rPr>
          <w:lang w:val="es-AR" w:eastAsia="es-AR" w:bidi="es-AR"/>
        </w:rPr>
        <w:t xml:space="preserve">Este agravio resulta ajeno al objeto de la presente incidencia, circunscripta exclusivamente al planteo de nulidad de la presentación inicial. Es que la propia resolución apelada dispuso expresamente, en su punto 3º, que firme que se encuentre lo allí decidido se resolverá lo que corresponda respecto del beneficio en sí, es decir, que el examen de los recaudos sustanciales de los arts. 78 y 79 del C.P.C.C. y la valoración de la prueba producida constituyen materia propia de la sentencia de mérito aún pendiente de dictarse en la instancia de origen.  Que, por tratarse de una cuestión prematura frente al estado actual de la causa, corresponde su rechazo sin perjuicio de lo que en su oportunidad se resuelva.</w:t>
      </w:r>
    </w:p>
    <w:p>
      <w:pPr>
        <w:pStyle w:val="[Normal]"/>
        <w:spacing w:line="360" w:lineRule="auto"/>
        <w:ind w:firstLine="1134"/>
        <w:jc w:val="both"/>
        <w:rPr>
          <w:lang w:val="es-AR" w:eastAsia="es-AR" w:bidi="es-AR"/>
        </w:rPr>
      </w:pPr>
      <w:r>
        <w:rPr>
          <w:lang w:val="es-AR" w:eastAsia="es-AR" w:bidi="es-AR"/>
        </w:rPr>
        <w:t xml:space="preserve">e) Sobre la imposición de costas (quinto agravio).</w:t>
      </w:r>
    </w:p>
    <w:p>
      <w:pPr>
        <w:pStyle w:val="[Normal]"/>
        <w:spacing w:line="360" w:lineRule="auto"/>
        <w:ind w:firstLine="1134"/>
        <w:jc w:val="both"/>
        <w:rPr>
          <w:lang w:val="es-AR" w:eastAsia="es-AR" w:bidi="es-AR"/>
        </w:rPr>
      </w:pPr>
      <w:r>
        <w:rPr>
          <w:lang w:val="es-AR" w:eastAsia="es-AR" w:bidi="es-AR"/>
        </w:rPr>
        <w:t xml:space="preserve">Habiendo resultado vencida la incidentista en su planteo de nulidad, la imposición de costas a su cargo en la instancia de grado se ajusta al principio objetivo de la derrota consagrado en el art. 68 del C.P.C.C., sin que se adviertan en el caso razones que justifiquen apartarse de dicho principio general.  Que la sola invocación de haber actuado con fundamento en normas procesales no basta para eximir de costas cuando, como en el caso, el planteo fue íntegramente desestimado por falta de acreditación del perjuicio exigido por la ley ritual.  Corresponde, en consecuencia, rechazar también este agravio.</w:t>
      </w:r>
    </w:p>
    <w:p>
      <w:pPr>
        <w:pStyle w:val="[Normal]"/>
        <w:spacing w:line="360" w:lineRule="auto"/>
        <w:ind w:firstLine="1134"/>
        <w:jc w:val="both"/>
        <w:rPr>
          <w:lang w:val="es-AR" w:eastAsia="es-AR" w:bidi="es-AR"/>
        </w:rPr>
      </w:pPr>
      <w:r>
        <w:rPr>
          <w:lang w:val="es-AR" w:eastAsia="es-AR" w:bidi="es-AR"/>
        </w:rPr>
        <w:t xml:space="preserve">Por las razones expuestas, los agravios traídos a conocimiento de este Tribunal no logran conmover los fundamentos de la resolución apelada, la que se encuentra ajustada a derecho y a las constancias de la causa, por lo que corresponde su confirmación íntegra.  Por todo ello, citas legales referidas, y lo dispuesto por los arts. 68, 69, 78, 79, 169, 172 y cctes. del C.P.C.C., propongo la confirmación de lo decidido en primera instancia.-</w:t>
      </w:r>
    </w:p>
    <w:p>
      <w:pPr>
        <w:pStyle w:val="[Normal]"/>
        <w:spacing w:line="360" w:lineRule="auto"/>
        <w:ind w:firstLine="1134"/>
        <w:jc w:val="both"/>
        <w:rPr>
          <w:lang w:val="es-AR" w:eastAsia="es-AR" w:bidi="es-AR"/>
        </w:rPr>
      </w:pPr>
      <w:r>
        <w:rPr>
          <w:lang w:val="es-AR" w:eastAsia="es-AR" w:bidi="es-AR"/>
        </w:rPr>
        <w:t xml:space="preserve">Por las razones dadas, citas legales de referencia y con el alcance indicado,</w:t>
      </w:r>
    </w:p>
    <w:p>
      <w:pPr>
        <w:pStyle w:val="[Normal]"/>
        <w:spacing w:line="360" w:lineRule="auto"/>
        <w:ind w:firstLine="1134"/>
        <w:jc w:val="both"/>
        <w:rPr>
          <w:lang w:val="es-AR" w:eastAsia="es-AR" w:bidi="es-AR"/>
        </w:rPr>
      </w:pPr>
      <w:r>
        <w:rPr>
          <w:b/>
          <w:lang w:val="es-AR" w:eastAsia="es-AR" w:bidi="es-AR"/>
        </w:rPr>
        <w:t xml:space="preserve">VOTO POR LA AFIRMATIVA</w:t>
      </w:r>
    </w:p>
    <w:p>
      <w:pPr>
        <w:pStyle w:val="[Normal]"/>
        <w:spacing w:line="360" w:lineRule="auto"/>
        <w:ind w:firstLine="1134"/>
        <w:jc w:val="both"/>
        <w:rPr>
          <w:lang w:val="es-AR" w:eastAsia="es-AR" w:bidi="es-AR"/>
        </w:rPr>
      </w:pPr>
      <w:r>
        <w:rPr>
          <w:lang w:val="es-AR" w:eastAsia="es-AR" w:bidi="es-AR"/>
        </w:rPr>
        <w:t xml:space="preserve">A la misma cuestión el señor Juez Roberto Degleue por análogos fundamentos votó en el mismo sentido.</w:t>
      </w:r>
    </w:p>
    <w:p>
      <w:pPr>
        <w:pStyle w:val="[Normal]"/>
        <w:spacing w:line="360" w:lineRule="auto"/>
        <w:ind w:firstLine="1134"/>
        <w:jc w:val="both"/>
        <w:rPr>
          <w:lang w:val="es-AR" w:eastAsia="es-AR" w:bidi="es-AR"/>
        </w:rPr>
      </w:pPr>
      <w:r>
        <w:rPr>
          <w:lang w:val="es-AR" w:eastAsia="es-AR" w:bidi="es-AR"/>
        </w:rPr>
        <w:t xml:space="preserve">A la segunda cuestión la señora Jueza Graciela Scaraffia dijo: De conformidad al resultado habido al tratarse la cuestión precedente, estimo que el pronunciamiento que corresponde dictar es: </w:t>
      </w:r>
    </w:p>
    <w:p>
      <w:pPr>
        <w:pStyle w:val="[Normal]"/>
        <w:spacing w:line="360" w:lineRule="auto"/>
        <w:ind w:firstLine="1134"/>
        <w:jc w:val="both"/>
        <w:rPr>
          <w:lang w:val="es-AR" w:eastAsia="es-AR" w:bidi="es-AR"/>
        </w:rPr>
      </w:pPr>
      <w:r>
        <w:rPr>
          <w:lang w:val="es-AR" w:eastAsia="es-AR" w:bidi="es-AR"/>
        </w:rPr>
        <w:t xml:space="preserve">1) Rechazar el recurso de apelación interpuesto por la Sra. Stella Maris Carrizo y en consecuencia, confirmar en todas sus partes la resolución de fecha 3 de marzo de 2026 dictada por el Juzgado de Paz Letrado de Colón.</w:t>
      </w:r>
    </w:p>
    <w:p>
      <w:pPr>
        <w:pStyle w:val="[Normal]"/>
        <w:spacing w:line="360" w:lineRule="auto"/>
        <w:ind w:firstLine="1134"/>
        <w:jc w:val="both"/>
        <w:rPr>
          <w:lang w:val="es-AR" w:eastAsia="es-AR" w:bidi="es-AR"/>
        </w:rPr>
      </w:pPr>
      <w:r>
        <w:rPr>
          <w:lang w:val="es-AR" w:eastAsia="es-AR" w:bidi="es-AR"/>
        </w:rPr>
        <w:t xml:space="preserve">2) Imponer las costas de Alzada a la apelante vencida (art. 68 del C.P.C.C.).</w:t>
      </w:r>
    </w:p>
    <w:p>
      <w:pPr>
        <w:pStyle w:val="[Normal]"/>
        <w:spacing w:line="360" w:lineRule="auto"/>
        <w:ind w:firstLine="1134"/>
        <w:jc w:val="both"/>
        <w:rPr>
          <w:lang w:val="es-AR" w:eastAsia="es-AR" w:bidi="es-AR"/>
        </w:rPr>
      </w:pPr>
      <w:r>
        <w:rPr>
          <w:lang w:val="es-AR" w:eastAsia="es-AR" w:bidi="es-AR"/>
        </w:rPr>
        <w:t xml:space="preserve">3) Diferir la regulación de los honorarios profesionales de Alzada para la oportunidad en que se encuentren regulados los de la instancia de origen.</w:t>
      </w:r>
    </w:p>
    <w:p>
      <w:pPr>
        <w:pStyle w:val="[Normal]"/>
        <w:spacing w:line="360" w:lineRule="auto"/>
        <w:ind w:firstLine="1134"/>
        <w:jc w:val="both"/>
        <w:rPr>
          <w:lang w:val="es-AR" w:eastAsia="es-AR" w:bidi="es-AR"/>
        </w:rPr>
      </w:pPr>
      <w:r>
        <w:rPr>
          <w:b/>
          <w:lang w:val="es-AR" w:eastAsia="es-AR" w:bidi="es-AR"/>
        </w:rPr>
        <w:t xml:space="preserve">ASI LO VOTO. </w:t>
      </w:r>
    </w:p>
    <w:p>
      <w:pPr>
        <w:pStyle w:val="[Normal]"/>
        <w:spacing w:line="360" w:lineRule="auto"/>
        <w:ind w:firstLine="1134"/>
        <w:jc w:val="both"/>
        <w:rPr>
          <w:lang w:val="es-AR" w:eastAsia="es-AR" w:bidi="es-AR"/>
        </w:rPr>
      </w:pPr>
      <w:r>
        <w:rPr>
          <w:lang w:val="es-AR" w:eastAsia="es-AR" w:bidi="es-AR"/>
        </w:rPr>
        <w:t xml:space="preserve">A la misma cuestión el señor Juez Roberto Degleue por análogos fundamentos votó en el mismo sentido.-</w:t>
      </w:r>
    </w:p>
    <w:p>
      <w:pPr>
        <w:pStyle w:val="[Normal]"/>
        <w:spacing w:line="360" w:lineRule="auto"/>
        <w:ind w:firstLine="1134"/>
        <w:jc w:val="both"/>
        <w:rPr>
          <w:lang w:val="es-AR" w:eastAsia="es-AR" w:bidi="es-AR"/>
        </w:rPr>
      </w:pPr>
      <w:r>
        <w:rPr>
          <w:lang w:val="es-AR" w:eastAsia="es-AR" w:bidi="es-AR"/>
        </w:rPr>
        <w:t xml:space="preserve">Con lo que terminó el presente Acuerdo, dictándose la siguiente;</w:t>
      </w:r>
    </w:p>
    <w:p>
      <w:pPr>
        <w:pStyle w:val="[Normal]"/>
        <w:spacing w:line="360" w:lineRule="auto"/>
        <w:ind w:firstLine="1134"/>
        <w:jc w:val="both"/>
        <w:rPr>
          <w:b/>
          <w:u w:val="single"/>
          <w:lang w:val="es-AR" w:eastAsia="es-AR" w:bidi="es-AR"/>
        </w:rPr>
      </w:pPr>
      <w:r>
        <w:rPr>
          <w:b/>
          <w:lang w:val="es-AR" w:eastAsia="es-AR" w:bidi="es-AR"/>
        </w:rPr>
        <w:t xml:space="preserve">S E N T E N C I A</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1) Rechazar el recurso de apelación interpuesto por la Sra. Stella Maris Carrizo y en consecuencia, confirmar en todas sus partes la resolución de fecha 3 de marzo de 2026 dictada por el Juzgado de Paz Letrado de Colón.</w:t>
      </w:r>
    </w:p>
    <w:p>
      <w:pPr>
        <w:pStyle w:val="[Normal]"/>
        <w:spacing w:line="360" w:lineRule="auto"/>
        <w:ind w:firstLine="1134"/>
        <w:jc w:val="both"/>
        <w:rPr>
          <w:lang w:val="es-AR" w:eastAsia="es-AR" w:bidi="es-AR"/>
        </w:rPr>
      </w:pPr>
      <w:r>
        <w:rPr>
          <w:lang w:val="es-AR" w:eastAsia="es-AR" w:bidi="es-AR"/>
        </w:rPr>
        <w:t xml:space="preserve">2) Imponer las costas de Alzada a la apelante vencida (art. 68 del C.P.C.C.).</w:t>
      </w:r>
    </w:p>
    <w:p>
      <w:pPr>
        <w:pStyle w:val="[Normal]"/>
        <w:spacing w:line="360" w:lineRule="auto"/>
        <w:ind w:firstLine="1134"/>
        <w:jc w:val="both"/>
        <w:rPr>
          <w:lang w:val="es-AR" w:eastAsia="es-AR" w:bidi="es-AR"/>
        </w:rPr>
      </w:pPr>
      <w:r>
        <w:rPr>
          <w:lang w:val="es-AR" w:eastAsia="es-AR" w:bidi="es-AR"/>
        </w:rPr>
        <w:t xml:space="preserve">3) Diferir la regulación de los honorarios profesionales de Alzada para la oportunidad en que se encuentren regulados los de la instancia de origen.</w:t>
      </w:r>
    </w:p>
    <w:p>
      <w:pPr>
        <w:pStyle w:val="[Normal]"/>
        <w:spacing w:line="360" w:lineRule="auto"/>
        <w:ind w:firstLine="1134"/>
        <w:jc w:val="both"/>
        <w:rPr>
          <w:color w:val="000000"/>
          <w:lang w:val="es-AR" w:eastAsia="es-AR" w:bidi="es-AR"/>
        </w:rPr>
      </w:pPr>
      <w:r>
        <w:rPr>
          <w:lang w:val="es-AR" w:eastAsia="es-AR" w:bidi="es-AR"/>
        </w:rPr>
        <w:t xml:space="preserve">Regístrese. Notifíquese por Secretaría (Ac. 4013 SCBA) remitiéndose copia digital de la presente sentencia a los domicilios electrónicos de las respectivas partes. Devuélvase.-</w:t>
      </w:r>
    </w:p>
    <w:p>
      <w:pPr>
        <w:pStyle w:val="[Normal]"/>
        <w:spacing w:line="480" w:lineRule="auto"/>
        <w:ind w:firstLine="1134"/>
        <w:jc w:val="both"/>
        <w:rPr>
          <w:color w:val="000000"/>
          <w:lang w:val="es-AR" w:eastAsia="es-AR" w:bidi="es-AR"/>
        </w:rPr>
      </w:pPr>
      <w:r>
        <w:rPr>
          <w:color w:val="000000"/>
          <w:lang w:val="es-AR" w:eastAsia="es-AR" w:bidi="es-AR"/>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REFERENCIAS: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17/09/2026 11:20:01 - SCARAFFIA Graciela Hilda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17/09/2026 11:20:42 - DEGLEUE Roberto Manuel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17/09/2026 11:31:35 - PELUSA Juan Cruz - AUXILIAR LETRADO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336" w:after="336"/>
        <w:rPr>
          <w:rFonts w:ascii="BarCode 128" w:hAnsi="BarCode 128" w:eastAsia="BarCode 128" w:cs="BarCode 128"/>
          <w:sz w:val="60"/>
          <w:lang w:val="es-AR" w:eastAsia="es-AR" w:bidi="es-AR"/>
        </w:rPr>
      </w:pPr>
      <w:r>
        <w:rPr>
          <w:rFonts w:ascii="BarCode 128" w:hAnsi="BarCode 128" w:eastAsia="BarCode 128" w:cs="BarCode 128"/>
          <w:sz w:val="60"/>
          <w:lang w:val="es-AR" w:eastAsia="es-AR" w:bidi="es-AR"/>
        </w:rPr>
        <w:t xml:space="preserve">‰7%")è'$]f=Š</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12" w:after="112"/>
        <w:rPr>
          <w:sz w:val="20"/>
          <w:lang w:val="es-AR" w:eastAsia="es-AR" w:bidi="es-AR"/>
        </w:rPr>
      </w:pPr>
      <w:r>
        <w:rPr>
          <w:sz w:val="20"/>
          <w:lang w:val="es-AR" w:eastAsia="es-AR" w:bidi="es-AR"/>
        </w:rPr>
        <w:t xml:space="preserve">230502090007046170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lang w:val="es-AR" w:eastAsia="es-AR" w:bidi="es-AR"/>
        </w:rPr>
        <w:t xml:space="preserve">CAMARA DE APELACION EN LO CIVIL Y COMERCIAL PERGAMINO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NO CONTIENE ARCHIVOS ADJUNTOS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Registrado en REGISTRO DE SENTENCIAS el 17/09/2026 11:31:48 hs. bajo el número RS-150-2026 por PELUSA JUAN.</w:t>
      </w:r>
    </w:p>
    <w:p>
      <w:pPr>
        <w:pStyle w:val="[Normal]"/>
        <w:rPr>
          <w:lang w:val="es-AR" w:eastAsia="es-AR" w:bidi="es-AR"/>
        </w:rPr>
      </w:pPr>
    </w:p>
    <w:sectPr>
      <w:pgSz w:w="11906" w:h="16832"/>
      <w:pgMar w:top="2835" w:right="850" w:bottom="1134" w:left="2835" w:header="567" w:footer="567"/>
      <w:pgBorders w:display="allPages" w:offsetFrom="page"/>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BarCode 128">
    <w:charset w:val="00"/>
    <w:family w:val="auto"/>
    <w:pitch w:val="variable"/>
  </w:font>
</w:fonts>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bordersDoNotSurroundFooter/>
  <w:defaultTabStop w:val="1134"/>
  <w:compat>
    <w:noExtraLineSpacing/>
  </w:compat>
  <tx24:txVer tx24:val="25.0.323.500"/>
</w:settings>
</file>

<file path=word/styles.xml><?xml version="1.0" encoding="utf-8"?>
<w:styles xmlns:w="http://schemas.openxmlformats.org/wordprocessingml/2006/main">
  <w:docDefaults>
    <w:rPrDefault>
      <w:rPr>
        <w:rFonts w:ascii="Arial"/>
        <w:sz w:val="24"/>
      </w:rPr>
    </w:rPrDefault>
  </w:docDefaults>
  <w:style w:type="paragraph" w:styleId="[Normal]" w:default="1">
    <w:name w:val="[Normal]"/>
    <w:next w:val="[Normal]"/>
    <w:qFormat/>
    <w:pPr>
      <w:widowControl w:val="off"/>
      <w:shd w:val="clear" w:color="auto" w:fill="auto"/>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line="240" w:lineRule="auto"/>
      <w:ind w:left="0" w:right="0" w:firstLine="0"/>
      <w:jc w:val="left"/>
    </w:pPr>
    <w:rPr>
      <w:rFonts w:ascii="Arial" w:hAnsi="Arial" w:eastAsia="Arial" w:cs="Arial"/>
      <w:b w:val="off"/>
      <w:bCs w:val="off"/>
      <w:i w:val="off"/>
      <w:iCs w:val="off"/>
      <w:strike w:val="off"/>
      <w:color w:val="auto"/>
      <w:position w:val="0"/>
      <w:sz w:val="24"/>
      <w:szCs w:val="24"/>
      <w:shd w:val="clear" w:color="auto" w:fill="auto"/>
      <w:rtl w:val="off"/>
      <w:lang w:val="x-none" w:eastAsia="x-none" w:bidi="x-none"/>
    </w:rPr>
  </w:style>
  <w:style w:type="paragraph" w:styleId="BODY">
    <w:name w:val="BODY"/>
    <w:basedOn w:val="[Normal]"/>
    <w:next w:val="BODY"/>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style>
  <w:style w:type="character" w:styleId="B">
    <w:name w:val="B"/>
    <w:qFormat/>
    <w:rPr>
      <w:b/>
      <w:bCs/>
      <w:rtl w:val="off"/>
      <w:lang w:val="x-none" w:eastAsia="x-none" w:bidi="x-none"/>
    </w:rPr>
  </w:style>
</w:styles>
</file>

<file path=word/_rels/document.xml.rels><?xml version="1.0" encoding="UTF-8" standalone="yes"?><Relationships xmlns="http://schemas.openxmlformats.org/package/2006/relationships">
	<Relationship Id="rId00002" Type="http://schemas.openxmlformats.org/officeDocument/2006/relationships/styles" Target="styles.xml"/>
	<Relationship Id="rId00003" Type="http://schemas.openxmlformats.org/officeDocument/2006/relationships/fontTable" Target="fontTable.xml"/>
	<Relationship Id="rId00004" Type="http://schemas.openxmlformats.org/officeDocument/2006/relationships/settings" Target="settings.xml"/>
</Relationships>
</file>