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Default Extension="jpg" ContentType="image/jpeg"/>
  <Default Extension="bmp" ContentType="image/x-bmp"/>
  <Default Extension="gif" ContentType="image/gif"/>
  <Default Extension="png" ContentType="image/png"/>
  <Default Extension="tiff" ContentType="image/tiff"/>
  <Default Extension="tif" ContentType="image/tiff"/>
  <Default Extension="wmf" ContentType="image/x-wmf"/>
  <Default Extension="emf" ContentType="image/x-emf"/>
  <Default Extension="wdp" ContentType="image/vnd.ms-photo"/>
  <Default Extension="jxr" ContentType="image/vnd.ms-photo"/>
  <Default Extension="bin" ContentType="application/vnd.openxmlformats-officedocument.oleObject"/>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standalone="yes"?><Relationships xmlns="http://schemas.openxmlformats.org/package/2006/relationships">
	<Relationship Id="rId00001" Type="http://schemas.openxmlformats.org/officeDocument/2006/relationships/officeDocument" Target="word/document.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xmlns:wpc="http://schemas.microsoft.com/office/word/2010/wordprocessingCanvas" xmlns:wpg="http://schemas.microsoft.com/office/word/2010/wordprocessingGroup" xmlns:wps="http://schemas.microsoft.com/office/word/2010/wordprocessingShape" xmlns:mc="http://schemas.openxmlformats.org/markup-compatibility/2006" xmlns:w14="http://schemas.microsoft.com/office/word/2010/wordml" xmlns:w15="http://schemas.microsoft.com/office/word/2012/wordml" xmlns:tx19="http://schemas.textcontrol.com/tx/1900" xmlns:tx23="http://schemas.textcontrol.com/tx/2300" mc:Ignorable="w14 w15 tx19 tx23">
  <w:body>
    <w:p>
      <w:pPr>
        <w:pStyle w:val="[Normal]"/>
        <w:spacing w:line="360" w:lineRule="auto"/>
        <w:jc w:val="both"/>
        <w:rPr>
          <w:lang w:val="es-AR" w:eastAsia="es-AR" w:bidi="es-AR"/>
        </w:rPr>
      </w:pPr>
      <w:r>
        <w:rPr>
          <w:lang w:val="es-AR" w:eastAsia="es-AR" w:bidi="es-AR"/>
        </w:rPr>
        <w:t xml:space="preserve"> </w:t>
      </w:r>
    </w:p>
    <w:p>
      <w:pPr>
        <w:pStyle w:val="[Normal]"/>
        <w:spacing w:line="360" w:lineRule="auto"/>
        <w:ind w:firstLine="1134"/>
        <w:jc w:val="both"/>
        <w:rPr>
          <w:lang w:val="es-AR" w:eastAsia="es-AR" w:bidi="es-AR"/>
        </w:rPr>
      </w:pPr>
      <w:r>
        <w:rPr>
          <w:lang w:val="es-AR" w:eastAsia="es-AR" w:bidi="es-AR"/>
        </w:rPr>
        <w:t xml:space="preserve">En la ciudad de Pergamino, reunidos en Acuerdo Ordinario los Sres. Jueces de la Excma. Cámara de Apelación en lo Civil y Comercial del Departamento Judicial Pergamino, para dictar sentencia en la causa N° </w:t>
      </w:r>
      <w:r>
        <w:rPr>
          <w:color w:val="000000"/>
          <w:lang w:val="es-AR" w:eastAsia="es-AR" w:bidi="es-AR"/>
        </w:rPr>
        <w:t xml:space="preserve">6149-26</w:t>
      </w:r>
      <w:r>
        <w:rPr>
          <w:lang w:val="es-AR" w:eastAsia="es-AR" w:bidi="es-AR"/>
        </w:rPr>
        <w:t xml:space="preserve"> caratulada </w:t>
      </w:r>
      <w:r>
        <w:rPr>
          <w:b/>
          <w:lang w:val="es-AR" w:eastAsia="es-AR" w:bidi="es-AR"/>
        </w:rPr>
        <w:t xml:space="preserve">"</w:t>
      </w:r>
      <w:r>
        <w:rPr>
          <w:b/>
          <w:color w:val="000000"/>
          <w:lang w:val="es-AR" w:eastAsia="es-AR" w:bidi="es-AR"/>
        </w:rPr>
        <w:t xml:space="preserve">DITAMO JUAN MARTIN C/ CESPEDES MARIA BELEN S/ BENEFICIO DE LITIGAR SIN GASTOS</w:t>
      </w:r>
      <w:r>
        <w:rPr>
          <w:b/>
          <w:lang w:val="es-AR" w:eastAsia="es-AR" w:bidi="es-AR"/>
        </w:rPr>
        <w:t xml:space="preserve">"</w:t>
      </w:r>
      <w:r>
        <w:rPr>
          <w:lang w:val="es-AR" w:eastAsia="es-AR" w:bidi="es-AR"/>
        </w:rPr>
        <w:t xml:space="preserve">, Expte.  N° 80.000</w:t>
      </w:r>
      <w:r>
        <w:rPr>
          <w:color w:val="000000"/>
          <w:lang w:val="es-AR" w:eastAsia="es-AR" w:bidi="es-AR"/>
        </w:rPr>
        <w:t xml:space="preserve"> </w:t>
      </w:r>
      <w:r>
        <w:rPr>
          <w:lang w:val="es-AR" w:eastAsia="es-AR" w:bidi="es-AR"/>
        </w:rPr>
        <w:t xml:space="preserve">del Juzgado Civil y Comercial N° 1</w:t>
      </w:r>
      <w:r>
        <w:rPr>
          <w:color w:val="0000FF"/>
          <w:lang w:val="es-AR" w:eastAsia="es-AR" w:bidi="es-AR"/>
        </w:rPr>
        <w:t xml:space="preserve">,</w:t>
      </w:r>
      <w:r>
        <w:rPr>
          <w:lang w:val="es-AR" w:eastAsia="es-AR" w:bidi="es-AR"/>
        </w:rPr>
        <w:t xml:space="preserve"> se practicó el sorteo de ley que determinó que la votación debía efectuarse en el siguiente orden: Roberto Degleue y Graciela Scaraffia, y estudiados los autos se resolvió plantear y votar las siguientes: </w:t>
      </w:r>
    </w:p>
    <w:p>
      <w:pPr>
        <w:pStyle w:val="[Normal]"/>
        <w:spacing w:line="360" w:lineRule="auto"/>
        <w:ind w:firstLine="1134"/>
        <w:jc w:val="both"/>
        <w:rPr>
          <w:lang w:val="es-AR" w:eastAsia="es-AR" w:bidi="es-AR"/>
        </w:rPr>
      </w:pPr>
      <w:r>
        <w:rPr>
          <w:b/>
          <w:lang w:val="es-AR" w:eastAsia="es-AR" w:bidi="es-AR"/>
        </w:rPr>
        <w:t xml:space="preserve">C U E S T I O N E S:</w:t>
      </w:r>
    </w:p>
    <w:p>
      <w:pPr>
        <w:pStyle w:val="[Normal]"/>
        <w:spacing w:line="360" w:lineRule="auto"/>
        <w:ind w:firstLine="1134"/>
        <w:jc w:val="both"/>
        <w:rPr>
          <w:lang w:val="es-AR" w:eastAsia="es-AR" w:bidi="es-AR"/>
        </w:rPr>
      </w:pPr>
      <w:r>
        <w:rPr>
          <w:lang w:val="es-AR" w:eastAsia="es-AR" w:bidi="es-AR"/>
        </w:rPr>
        <w:t xml:space="preserve">I) ¿Se ajusta a derecho la sentencia apelada?</w:t>
      </w:r>
    </w:p>
    <w:p>
      <w:pPr>
        <w:pStyle w:val="[Normal]"/>
        <w:spacing w:line="360" w:lineRule="auto"/>
        <w:ind w:firstLine="1134"/>
        <w:jc w:val="both"/>
        <w:rPr>
          <w:lang w:val="es-AR" w:eastAsia="es-AR" w:bidi="es-AR"/>
        </w:rPr>
      </w:pPr>
      <w:r>
        <w:rPr>
          <w:lang w:val="es-AR" w:eastAsia="es-AR" w:bidi="es-AR"/>
        </w:rPr>
        <w:t xml:space="preserve">II) ¿Qué pronunciamiento corresponde dictar?</w:t>
      </w:r>
    </w:p>
    <w:p>
      <w:pPr>
        <w:pStyle w:val="[Normal]"/>
        <w:spacing w:line="360" w:lineRule="auto"/>
        <w:ind w:firstLine="1134"/>
        <w:jc w:val="both"/>
        <w:rPr>
          <w:lang w:val="es-AR" w:eastAsia="es-AR" w:bidi="es-AR"/>
        </w:rPr>
      </w:pPr>
      <w:r>
        <w:rPr>
          <w:lang w:val="es-AR" w:eastAsia="es-AR" w:bidi="es-AR"/>
        </w:rPr>
        <w:t xml:space="preserve">A la primera cuestión el señor Juez Roberto Degleue dijo: El señor Juez de la anterior sede concedió en forma total el beneficio solicitado por Juan Martín Ditamo para litigar sin gastos en el juicio de Cobro de sumas de dinero contra María Belén Cespedes, declarándolo exento de costas o gastos  judiciales  hasta  tanto mejore su fortuna con los alcances del art. 84 del C.P.C.  Aplicó las costas de este incidente a la contraparte que se ha opuesto al otorgamiento del beneficio, por resultar vencida.  Difirió la regulación de honorarios.</w:t>
      </w:r>
    </w:p>
    <w:p>
      <w:pPr>
        <w:pStyle w:val="[Normal]"/>
        <w:spacing w:line="360" w:lineRule="auto"/>
        <w:ind w:firstLine="1134"/>
        <w:jc w:val="both"/>
        <w:rPr>
          <w:lang w:val="es-AR" w:eastAsia="es-AR" w:bidi="es-AR"/>
        </w:rPr>
      </w:pPr>
      <w:r>
        <w:rPr>
          <w:lang w:val="es-AR" w:eastAsia="es-AR" w:bidi="es-AR"/>
        </w:rPr>
        <w:t xml:space="preserve">En disconformidad con lo resuelto, apela el 17-6-2026 la parte demandada, recurso concedido en relación, contestando el traslado conferido el 30-6-2026.</w:t>
      </w:r>
    </w:p>
    <w:p>
      <w:pPr>
        <w:pStyle w:val="[Normal]"/>
        <w:spacing w:line="360" w:lineRule="auto"/>
        <w:ind w:firstLine="1134"/>
        <w:jc w:val="both"/>
        <w:rPr>
          <w:lang w:val="es-AR" w:eastAsia="es-AR" w:bidi="es-AR"/>
        </w:rPr>
      </w:pPr>
      <w:r>
        <w:rPr>
          <w:lang w:val="es-AR" w:eastAsia="es-AR" w:bidi="es-AR"/>
        </w:rPr>
        <w:t xml:space="preserve">Ingresados los autos a esta Alzada el 3-7-2026 se dicta el llamamiento de autos para resolver, providencia que estando firme deja la causa en condiciones de ser tratada.</w:t>
      </w:r>
    </w:p>
    <w:p>
      <w:pPr>
        <w:pStyle w:val="[Normal]"/>
        <w:spacing w:line="360" w:lineRule="auto"/>
        <w:ind w:firstLine="1134"/>
        <w:jc w:val="both"/>
        <w:rPr>
          <w:lang w:val="es-AR" w:eastAsia="es-AR" w:bidi="es-AR"/>
        </w:rPr>
      </w:pPr>
      <w:r>
        <w:rPr>
          <w:lang w:val="es-AR" w:eastAsia="es-AR" w:bidi="es-AR"/>
        </w:rPr>
        <w:t xml:space="preserve">La parte demandada se agravia ante lo resuelto en cuanto se concedió al actor, Juan Martín Dítamo, el beneficio de litigar sin gastos por considerar que el pronunciamiento efectuó una valoración incompleta y arbitraria de las constancias de la causa.</w:t>
      </w:r>
    </w:p>
    <w:p>
      <w:pPr>
        <w:pStyle w:val="[Normal]"/>
        <w:spacing w:line="360" w:lineRule="auto"/>
        <w:ind w:firstLine="1134"/>
        <w:jc w:val="both"/>
        <w:rPr>
          <w:lang w:val="es-AR" w:eastAsia="es-AR" w:bidi="es-AR"/>
        </w:rPr>
      </w:pPr>
      <w:r>
        <w:rPr>
          <w:lang w:val="es-AR" w:eastAsia="es-AR" w:bidi="es-AR"/>
        </w:rPr>
        <w:t xml:space="preserve">Sostiene en primer término que el juez de grado incurrió en un excesivo rigor formal al considerar extemporánea la prueba acompañada por su parte al contestar la vista del art. 81 del CPCCBA y, sobre esa base, concluir que no existían elementos que contradijeran la situación económica invocada por el peticionante.</w:t>
      </w:r>
    </w:p>
    <w:p>
      <w:pPr>
        <w:pStyle w:val="[Normal]"/>
        <w:spacing w:line="360" w:lineRule="auto"/>
        <w:ind w:firstLine="1134"/>
        <w:jc w:val="both"/>
        <w:rPr>
          <w:lang w:val="es-AR" w:eastAsia="es-AR" w:bidi="es-AR"/>
        </w:rPr>
      </w:pPr>
      <w:r>
        <w:rPr>
          <w:lang w:val="es-AR" w:eastAsia="es-AR" w:bidi="es-AR"/>
        </w:rPr>
        <w:t xml:space="preserve">Afirma que la documentación cuestionada ya se encontraba incorporada al expediente electrónico antes del dictado de la resolución y que, por lo tanto, el magistrado no podía prescindir de su contenido al momento de formar convicción sobre la verdadera situación patrimonial del solicitante.</w:t>
      </w:r>
    </w:p>
    <w:p>
      <w:pPr>
        <w:pStyle w:val="[Normal]"/>
        <w:spacing w:line="360" w:lineRule="auto"/>
        <w:ind w:firstLine="1134"/>
        <w:jc w:val="both"/>
        <w:rPr>
          <w:lang w:val="es-AR" w:eastAsia="es-AR" w:bidi="es-AR"/>
        </w:rPr>
      </w:pPr>
      <w:r>
        <w:rPr>
          <w:lang w:val="es-AR" w:eastAsia="es-AR" w:bidi="es-AR"/>
        </w:rPr>
        <w:t xml:space="preserve">Señala que dicha documentación demostraría que el actor habría omitido consignar en su declaración jurada circunstancias relevantes vinculadas con su patrimonio y actividad económica.</w:t>
      </w:r>
    </w:p>
    <w:p>
      <w:pPr>
        <w:pStyle w:val="[Normal]"/>
        <w:spacing w:line="360" w:lineRule="auto"/>
        <w:ind w:firstLine="1134"/>
        <w:jc w:val="both"/>
        <w:rPr>
          <w:lang w:val="es-AR" w:eastAsia="es-AR" w:bidi="es-AR"/>
        </w:rPr>
      </w:pPr>
      <w:r>
        <w:rPr>
          <w:lang w:val="es-AR" w:eastAsia="es-AR" w:bidi="es-AR"/>
        </w:rPr>
        <w:t xml:space="preserve">Desde esta perspectiva, entiende que la decisión habría privilegiado la preclusión formal por sobre el esclarecimiento de la realidad económica del incidentista, configurándose un supuesto de exceso ritual manifiesto. Cita doctrina de la CSJN de aplicación.</w:t>
      </w:r>
    </w:p>
    <w:p>
      <w:pPr>
        <w:pStyle w:val="[Normal]"/>
        <w:spacing w:line="360" w:lineRule="auto"/>
        <w:ind w:firstLine="1134"/>
        <w:jc w:val="both"/>
        <w:rPr>
          <w:lang w:val="es-AR" w:eastAsia="es-AR" w:bidi="es-AR"/>
        </w:rPr>
      </w:pPr>
      <w:r>
        <w:rPr>
          <w:lang w:val="es-AR" w:eastAsia="es-AR" w:bidi="es-AR"/>
        </w:rPr>
        <w:t xml:space="preserve">En segundo lugar, cuestiona la aplicación rígida de las reglas relativas a la oportunidad de la prueba.</w:t>
      </w:r>
    </w:p>
    <w:p>
      <w:pPr>
        <w:pStyle w:val="[Normal]"/>
        <w:spacing w:line="360" w:lineRule="auto"/>
        <w:ind w:firstLine="1134"/>
        <w:jc w:val="both"/>
        <w:rPr>
          <w:lang w:val="es-AR" w:eastAsia="es-AR" w:bidi="es-AR"/>
        </w:rPr>
      </w:pPr>
      <w:r>
        <w:rPr>
          <w:lang w:val="es-AR" w:eastAsia="es-AR" w:bidi="es-AR"/>
        </w:rPr>
        <w:t xml:space="preserve">Sostiene que el beneficio de litigar sin gastos presenta características particulares y que el art. 82 del CPCCBA contempla expresamente la posibilidad de que la parte contraria aporte elementos destinados a controvertir la situación económica invocada por quien solicita el beneficio.</w:t>
      </w:r>
    </w:p>
    <w:p>
      <w:pPr>
        <w:pStyle w:val="[Normal]"/>
        <w:spacing w:line="360" w:lineRule="auto"/>
        <w:ind w:firstLine="1134"/>
        <w:jc w:val="both"/>
        <w:rPr>
          <w:lang w:val="es-AR" w:eastAsia="es-AR" w:bidi="es-AR"/>
        </w:rPr>
      </w:pPr>
      <w:r>
        <w:rPr>
          <w:lang w:val="es-AR" w:eastAsia="es-AR" w:bidi="es-AR"/>
        </w:rPr>
        <w:t xml:space="preserve">Entiende desde esa perspectiva, que la prueba aportada no podía ser descartada sin analizar su contenido, especialmente cuando se trataría de elementos objetivos destinados a demostrar la existencia de bienes, actividad profesional y participación societaria del actor.</w:t>
      </w:r>
    </w:p>
    <w:p>
      <w:pPr>
        <w:pStyle w:val="[Normal]"/>
        <w:spacing w:line="360" w:lineRule="auto"/>
        <w:ind w:firstLine="1134"/>
        <w:jc w:val="both"/>
        <w:rPr>
          <w:lang w:val="es-AR" w:eastAsia="es-AR" w:bidi="es-AR"/>
        </w:rPr>
      </w:pPr>
      <w:r>
        <w:rPr>
          <w:lang w:val="es-AR" w:eastAsia="es-AR" w:bidi="es-AR"/>
        </w:rPr>
        <w:t xml:space="preserve">Alega que el incidente de beneficio de litigar sin gastos no tiene por finalidad establecer una situación de pobreza en abstracto, sino determinar concretamente si el solicitante carece de recursos suficientes para afrontar los gastos derivados del proceso.</w:t>
      </w:r>
    </w:p>
    <w:p>
      <w:pPr>
        <w:pStyle w:val="[Normal]"/>
        <w:spacing w:line="360" w:lineRule="auto"/>
        <w:ind w:firstLine="1134"/>
        <w:jc w:val="both"/>
        <w:rPr>
          <w:lang w:val="es-AR" w:eastAsia="es-AR" w:bidi="es-AR"/>
        </w:rPr>
      </w:pPr>
      <w:r>
        <w:rPr>
          <w:lang w:val="es-AR" w:eastAsia="es-AR" w:bidi="es-AR"/>
        </w:rPr>
        <w:t xml:space="preserve">La jurisprudencia provincial ha destacado que el incidente posee carácter bilateral y contradictorio y que la situación económica del peticionante debe ser examinada a partir de la totalidad de las pruebas reunidas, aplicando las reglas generales de valoración previstas por los arts. 384 y 456 del CPCCBA.</w:t>
      </w:r>
    </w:p>
    <w:p>
      <w:pPr>
        <w:pStyle w:val="[Normal]"/>
        <w:spacing w:line="360" w:lineRule="auto"/>
        <w:ind w:firstLine="1134"/>
        <w:jc w:val="both"/>
        <w:rPr>
          <w:lang w:val="es-AR" w:eastAsia="es-AR" w:bidi="es-AR"/>
        </w:rPr>
      </w:pPr>
      <w:r>
        <w:rPr>
          <w:lang w:val="es-AR" w:eastAsia="es-AR" w:bidi="es-AR"/>
        </w:rPr>
        <w:t xml:space="preserve">Asimismo, se ha señalado que la ausencia de una regulación específica sobre la oportunidad de la prueba de la contraparte no autoriza a restringir irrazonablemente su derecho de defensa cuando se pretende controvertir la procedencia del beneficio.</w:t>
      </w:r>
    </w:p>
    <w:p>
      <w:pPr>
        <w:pStyle w:val="[Normal]"/>
        <w:spacing w:line="360" w:lineRule="auto"/>
        <w:ind w:firstLine="1134"/>
        <w:jc w:val="both"/>
        <w:rPr>
          <w:lang w:val="es-AR" w:eastAsia="es-AR" w:bidi="es-AR"/>
        </w:rPr>
      </w:pPr>
      <w:r>
        <w:rPr>
          <w:lang w:val="es-AR" w:eastAsia="es-AR" w:bidi="es-AR"/>
        </w:rPr>
        <w:t xml:space="preserve">En tercer lugar, la apelante cuestiona la valoración probatoria efectuada por el magistrado, afirmando que se otorgó especial fuerza convictiva a las declaraciones de tres testigos, pese a que sus manifestaciones se habrían basado en apreciaciones personales y no en datos concretos acerca de la situación económica del actor, tales como que “no cree que tenga bienes” o que “no sabe cuáles son sus ingresos”.</w:t>
      </w:r>
    </w:p>
    <w:p>
      <w:pPr>
        <w:pStyle w:val="[Normal]"/>
        <w:spacing w:line="360" w:lineRule="auto"/>
        <w:ind w:firstLine="1134"/>
        <w:jc w:val="both"/>
        <w:rPr>
          <w:lang w:val="es-AR" w:eastAsia="es-AR" w:bidi="es-AR"/>
        </w:rPr>
      </w:pPr>
      <w:r>
        <w:rPr>
          <w:lang w:val="es-AR" w:eastAsia="es-AR" w:bidi="es-AR"/>
        </w:rPr>
        <w:t xml:space="preserve">Contrapone esas declaraciones con la documentación que individualiza en el memorial y que, a su entender, tendría mayor eficacia demostrativa por tratarse de elementos objetivos, mencionando:</w:t>
      </w:r>
    </w:p>
    <w:p>
      <w:pPr>
        <w:pStyle w:val="[Normal]"/>
        <w:spacing w:line="360" w:lineRule="auto"/>
        <w:ind w:firstLine="1134"/>
        <w:jc w:val="both"/>
        <w:rPr>
          <w:lang w:val="es-AR" w:eastAsia="es-AR" w:bidi="es-AR"/>
        </w:rPr>
      </w:pPr>
      <w:r>
        <w:rPr>
          <w:lang w:val="es-AR" w:eastAsia="es-AR" w:bidi="es-AR"/>
        </w:rPr>
        <w:t xml:space="preserve">a) la titularidad del actor sobre partes indivisas de dos inmuebles;</w:t>
      </w:r>
    </w:p>
    <w:p>
      <w:pPr>
        <w:pStyle w:val="[Normal]"/>
        <w:spacing w:line="360" w:lineRule="auto"/>
        <w:ind w:firstLine="1134"/>
        <w:jc w:val="both"/>
        <w:rPr>
          <w:lang w:val="es-AR" w:eastAsia="es-AR" w:bidi="es-AR"/>
        </w:rPr>
      </w:pPr>
      <w:r>
        <w:rPr>
          <w:lang w:val="es-AR" w:eastAsia="es-AR" w:bidi="es-AR"/>
        </w:rPr>
        <w:t xml:space="preserve">b) la publicación del Boletín Oficial del 15 de julio de 2025, de la que surgiría su participación societaria en Ditamo Hnos Automotores S.R.L.; y</w:t>
      </w:r>
    </w:p>
    <w:p>
      <w:pPr>
        <w:pStyle w:val="[Normal]"/>
        <w:spacing w:line="360" w:lineRule="auto"/>
        <w:ind w:firstLine="1134"/>
        <w:jc w:val="both"/>
        <w:rPr>
          <w:lang w:val="es-AR" w:eastAsia="es-AR" w:bidi="es-AR"/>
        </w:rPr>
      </w:pPr>
      <w:r>
        <w:rPr>
          <w:lang w:val="es-AR" w:eastAsia="es-AR" w:bidi="es-AR"/>
        </w:rPr>
        <w:t xml:space="preserve">c) su inscripción fiscal como profesional contador público y su registración ante ARCA respecto de actividades vinculadas con servicios contables, de auditoría y servicios inmobiliarios.</w:t>
      </w:r>
    </w:p>
    <w:p>
      <w:pPr>
        <w:pStyle w:val="[Normal]"/>
        <w:spacing w:line="360" w:lineRule="auto"/>
        <w:ind w:firstLine="1134"/>
        <w:jc w:val="both"/>
        <w:rPr>
          <w:lang w:val="es-AR" w:eastAsia="es-AR" w:bidi="es-AR"/>
        </w:rPr>
      </w:pPr>
      <w:r>
        <w:rPr>
          <w:lang w:val="es-AR" w:eastAsia="es-AR" w:bidi="es-AR"/>
        </w:rPr>
        <w:t xml:space="preserve">A partir de ello, asegura que la prueba instrumental demostraría una realidad patrimonial incompatible con la situación de insuficiencia económica alegada por el actor y que el juzgado, al omitir su análisis, habría infringido las reglas de la sana crítica previstas por los arts. 384 y 456 del CPCCBA.</w:t>
      </w:r>
    </w:p>
    <w:p>
      <w:pPr>
        <w:pStyle w:val="[Normal]"/>
        <w:spacing w:line="360" w:lineRule="auto"/>
        <w:ind w:firstLine="1134"/>
        <w:jc w:val="both"/>
        <w:rPr>
          <w:lang w:val="es-AR" w:eastAsia="es-AR" w:bidi="es-AR"/>
        </w:rPr>
      </w:pPr>
      <w:r>
        <w:rPr>
          <w:lang w:val="es-AR" w:eastAsia="es-AR" w:bidi="es-AR"/>
        </w:rPr>
        <w:t xml:space="preserve">La recurrente sostiene que los elementos documentales incorporados resultaban decisivos para resolver el incidente, pues permitirían establecer que el actor no se encontraría en una situación de insuficiencia económica que justifique la franquicia.</w:t>
      </w:r>
    </w:p>
    <w:p>
      <w:pPr>
        <w:pStyle w:val="[Normal]"/>
        <w:spacing w:line="360" w:lineRule="auto"/>
        <w:ind w:firstLine="1134"/>
        <w:jc w:val="both"/>
        <w:rPr>
          <w:lang w:val="es-AR" w:eastAsia="es-AR" w:bidi="es-AR"/>
        </w:rPr>
      </w:pPr>
      <w:r>
        <w:rPr>
          <w:lang w:val="es-AR" w:eastAsia="es-AR" w:bidi="es-AR"/>
        </w:rPr>
        <w:t xml:space="preserve">Por ello, entiende que el defecto de la sentencia no reside solamente en una determinada valoración de la prueba, sino en haber prescindido de elementos que, de ser ponderados conjuntamente, podrían conducir a una solución distinta.</w:t>
      </w:r>
    </w:p>
    <w:p>
      <w:pPr>
        <w:pStyle w:val="[Normal]"/>
        <w:spacing w:line="360" w:lineRule="auto"/>
        <w:ind w:firstLine="1134"/>
        <w:jc w:val="both"/>
        <w:rPr>
          <w:lang w:val="es-AR" w:eastAsia="es-AR" w:bidi="es-AR"/>
        </w:rPr>
      </w:pPr>
      <w:r>
        <w:rPr>
          <w:lang w:val="es-AR" w:eastAsia="es-AR" w:bidi="es-AR"/>
        </w:rPr>
        <w:t xml:space="preserve">Finalmente, la apelante cuestiona la imposición de costas a su cargo con fundamento en el principio objetivo de la derrota previsto por el art. 68 del CPCCBA.</w:t>
      </w:r>
    </w:p>
    <w:p>
      <w:pPr>
        <w:pStyle w:val="[Normal]"/>
        <w:spacing w:line="360" w:lineRule="auto"/>
        <w:ind w:firstLine="1134"/>
        <w:jc w:val="both"/>
        <w:rPr>
          <w:lang w:val="es-AR" w:eastAsia="es-AR" w:bidi="es-AR"/>
        </w:rPr>
      </w:pPr>
      <w:r>
        <w:rPr>
          <w:lang w:val="es-AR" w:eastAsia="es-AR" w:bidi="es-AR"/>
        </w:rPr>
        <w:t xml:space="preserve">Sostiene que, si se admite la prueba ofrecida y se concluye que el actor no reunía los presupuestos necesarios para acceder al beneficio, la imposición de costas debería ser revisada y trasladada al peticionante, por haber promovido y sostenido una pretensión que se habría apoyado en una declaración patrimonial incompleta.</w:t>
      </w:r>
    </w:p>
    <w:p>
      <w:pPr>
        <w:pStyle w:val="[Normal]"/>
        <w:spacing w:line="360" w:lineRule="auto"/>
        <w:ind w:firstLine="1134"/>
        <w:jc w:val="both"/>
        <w:rPr>
          <w:lang w:val="es-AR" w:eastAsia="es-AR" w:bidi="es-AR"/>
        </w:rPr>
      </w:pPr>
      <w:r>
        <w:rPr>
          <w:lang w:val="es-AR" w:eastAsia="es-AR" w:bidi="es-AR"/>
        </w:rPr>
        <w:t xml:space="preserve">En consecuencia, solicita que se revoque la resolución apelada, se deniegue el beneficio de litigar sin gastos solicitado por el actor y se impongan las costas de ambas instancias a este último.</w:t>
      </w:r>
    </w:p>
    <w:p>
      <w:pPr>
        <w:pStyle w:val="[Normal]"/>
        <w:spacing w:line="360" w:lineRule="auto"/>
        <w:ind w:firstLine="1134"/>
        <w:jc w:val="both"/>
        <w:rPr>
          <w:lang w:val="es-AR" w:eastAsia="es-AR" w:bidi="es-AR"/>
        </w:rPr>
      </w:pPr>
      <w:r>
        <w:rPr>
          <w:lang w:val="es-AR" w:eastAsia="es-AR" w:bidi="es-AR"/>
        </w:rPr>
        <w:t xml:space="preserve">Por razones metodológicas corresponde abordar en primer término los cuestionamientos relacionados con la prueba que la recurrente afirma que el juzgado omitió valorar, a lo cual adelanto que la crítica no puede prosperar.</w:t>
      </w:r>
    </w:p>
    <w:p>
      <w:pPr>
        <w:pStyle w:val="[Normal]"/>
        <w:spacing w:line="360" w:lineRule="auto"/>
        <w:ind w:firstLine="1134"/>
        <w:jc w:val="both"/>
        <w:rPr>
          <w:lang w:val="es-AR" w:eastAsia="es-AR" w:bidi="es-AR"/>
        </w:rPr>
      </w:pPr>
      <w:r>
        <w:rPr>
          <w:lang w:val="es-AR" w:eastAsia="es-AR" w:bidi="es-AR"/>
        </w:rPr>
        <w:t xml:space="preserve">Es que, como surge de las constancias de autos que, al evacuar la vista conferida en los términos del art. 81 del Código Procesal, la parte demandada formuló oposición al otorgamiento del beneficio y ofreció prueba documental e informativa. Sin embargo, mediante providencia de fecha 21 de mayo de 2026 el juzgado de grado tuvo por contestada la vista, pero rechazó el ofrecimiento probatorio por considerarlo extemporáneo. Dicha decisión fue notificada a la interesada y no fue objeto de impugnación alguna, por lo que adquirió firmeza.</w:t>
      </w:r>
    </w:p>
    <w:p>
      <w:pPr>
        <w:pStyle w:val="[Normal]"/>
        <w:spacing w:line="360" w:lineRule="auto"/>
        <w:ind w:firstLine="1134"/>
        <w:jc w:val="both"/>
        <w:rPr>
          <w:lang w:val="es-AR" w:eastAsia="es-AR" w:bidi="es-AR"/>
        </w:rPr>
      </w:pPr>
      <w:r>
        <w:rPr>
          <w:lang w:val="es-AR" w:eastAsia="es-AR" w:bidi="es-AR"/>
        </w:rPr>
        <w:t xml:space="preserve">Tal circunstancia resulta decisiva, en tanto que la apelación contra la sentencia que posteriormente resolvió el incidente no constituye una vía apta para obtener la revisión de una decisión procesal anterior que quedó firme por falta de impugnación oportuna, en tanto que la preclusión impide retrotraer el procedimiento a una etapa ya clausurada y alcanza, naturalmente, a las facultades procesales que una de las partes pudo ejercer y no ejerció en el momento correspondiente.</w:t>
      </w:r>
    </w:p>
    <w:p>
      <w:pPr>
        <w:pStyle w:val="[Normal]"/>
        <w:spacing w:line="360" w:lineRule="auto"/>
        <w:ind w:firstLine="1134"/>
        <w:jc w:val="both"/>
        <w:rPr>
          <w:lang w:val="es-AR" w:eastAsia="es-AR" w:bidi="es-AR"/>
        </w:rPr>
      </w:pPr>
      <w:r>
        <w:rPr>
          <w:lang w:val="es-AR" w:eastAsia="es-AR" w:bidi="es-AR"/>
        </w:rPr>
        <w:t xml:space="preserve">Sabido es que en todo proceso judicial debe tenerse presente  que rige el principio de preclusión por el cual una facultad que no es ejercida en tiempo y forma se pierde, pues opera un claro impedimento o una imposibilidad: la facultad procesal no utilizada, se extingue, impidiendo que se retroceda a etapas procesales agotadas. Al respecto se ha dicho que "...no ejercida una facultad en tiempo y forma, la  misma  se  pierde  por cuanto la preclusión opera como un impedimento o una imposibilidad: la facultad procesal no utilizada, se extingue".(confr. SCBA, Ac.75777 del 13/6/01 ent. ots.).</w:t>
      </w:r>
    </w:p>
    <w:p>
      <w:pPr>
        <w:pStyle w:val="[Normal]"/>
        <w:spacing w:line="360" w:lineRule="auto"/>
        <w:ind w:firstLine="1134"/>
        <w:jc w:val="both"/>
        <w:rPr>
          <w:lang w:val="es-AR" w:eastAsia="es-AR" w:bidi="es-AR"/>
        </w:rPr>
      </w:pPr>
      <w:r>
        <w:rPr>
          <w:lang w:val="es-AR" w:eastAsia="es-AR" w:bidi="es-AR"/>
        </w:rPr>
        <w:t xml:space="preserve">Cabe adunar que de ese principio se deriva el de eventualidad, que importa la necesidad de aprovechar cada ocasión procesal íntegramente empleando en acumulación eventual todos los medios de ataque y defensa de que se disponga -es decir en forma conjunta- para que surtan sus efectos a todo evento, es decir, estar prevenido por si uno o varios de ellos no los producen (Morello.., ob.cit., Tº I, Bs.As. 1982, pág. 621 y ss.).- </w:t>
      </w:r>
    </w:p>
    <w:p>
      <w:pPr>
        <w:pStyle w:val="[Normal]"/>
        <w:spacing w:line="360" w:lineRule="auto"/>
        <w:ind w:firstLine="1134"/>
        <w:jc w:val="both"/>
        <w:rPr>
          <w:lang w:val="es-AR" w:eastAsia="es-AR" w:bidi="es-AR"/>
        </w:rPr>
      </w:pPr>
      <w:r>
        <w:rPr>
          <w:lang w:val="es-AR" w:eastAsia="es-AR" w:bidi="es-AR"/>
        </w:rPr>
        <w:t xml:space="preserve">En la materia ha dicho la SCBA que </w:t>
      </w:r>
      <w:r>
        <w:rPr>
          <w:i/>
          <w:lang w:val="es-AR" w:eastAsia="es-AR" w:bidi="es-AR"/>
        </w:rPr>
        <w:t xml:space="preserve">"las etapas de un proceso se desarrollan en forma concatenada y sucesiva donde concluyendo cada una el pase a la siguiente permite su avance, impidiendo regresar sobre pasos superados</w:t>
      </w:r>
      <w:r>
        <w:rPr>
          <w:lang w:val="es-AR" w:eastAsia="es-AR" w:bidi="es-AR"/>
        </w:rPr>
        <w:t xml:space="preserve">" (SCBA, B 65769 I 10-9-2008, JUBA B95402). Así, "</w:t>
      </w:r>
      <w:r>
        <w:rPr>
          <w:i/>
          <w:lang w:val="es-AR" w:eastAsia="es-AR" w:bidi="es-AR"/>
        </w:rPr>
        <w:t xml:space="preserve">transcurrida la oportunidad, la etapa del juicio se clausura y se pasa a la subsiguiente, tal como si una especie de compuerta se cerrara tras los actos impidiendo su regreso</w:t>
      </w:r>
      <w:r>
        <w:rPr>
          <w:lang w:val="es-AR" w:eastAsia="es-AR" w:bidi="es-AR"/>
        </w:rPr>
        <w:t xml:space="preserve">" (CC0201 LP 112488 RSD-47-10 S 20-4-2010, B257459; CC0102 MP 143872 RSD-252-10 S 7-9-2010,B1404600, CAP 5029-2023, RS-178-2023 del 28-11-2023).</w:t>
      </w:r>
    </w:p>
    <w:p>
      <w:pPr>
        <w:pStyle w:val="[Normal]"/>
        <w:spacing w:line="360" w:lineRule="auto"/>
        <w:ind w:firstLine="1134"/>
        <w:jc w:val="both"/>
        <w:rPr>
          <w:lang w:val="es-AR" w:eastAsia="es-AR" w:bidi="es-AR"/>
        </w:rPr>
      </w:pPr>
      <w:r>
        <w:rPr>
          <w:lang w:val="es-AR" w:eastAsia="es-AR" w:bidi="es-AR"/>
        </w:rPr>
        <w:t xml:space="preserve">No modifica esta conclusión el argumento de la recurrente según el cual el art. 82 del Código Procesal permitiría la incorporación de prueba durante el trámite del beneficio, ni su invocación de la necesidad de privilegiar la verdad objetiva por sobre el rigor de las formas.</w:t>
      </w:r>
    </w:p>
    <w:p>
      <w:pPr>
        <w:pStyle w:val="[Normal]"/>
        <w:spacing w:line="360" w:lineRule="auto"/>
        <w:ind w:firstLine="1134"/>
        <w:jc w:val="both"/>
        <w:rPr>
          <w:lang w:val="es-AR" w:eastAsia="es-AR" w:bidi="es-AR"/>
        </w:rPr>
      </w:pPr>
      <w:r>
        <w:rPr>
          <w:lang w:val="es-AR" w:eastAsia="es-AR" w:bidi="es-AR"/>
        </w:rPr>
        <w:t xml:space="preserve">Ya que, una cosa es la posibilidad legal de producir prueba dentro del incidente y otra, distinta, que pueda desconocerse una decisión concreta que, en el caso particular, rechazó por extemporáneo el ofrecimiento efectuado por la parte interesada y que, además, no fue recurrida. No resulta jurídicamente admisible que una cuestión que quedó firme durante el trámite del incidente sea reintroducida indirectamente mediante la apelación de la sentencia definitiva.</w:t>
      </w:r>
    </w:p>
    <w:p>
      <w:pPr>
        <w:pStyle w:val="[Normal]"/>
        <w:spacing w:line="360" w:lineRule="auto"/>
        <w:ind w:firstLine="1134"/>
        <w:jc w:val="both"/>
        <w:rPr>
          <w:lang w:val="es-AR" w:eastAsia="es-AR" w:bidi="es-AR"/>
        </w:rPr>
      </w:pPr>
      <w:r>
        <w:rPr>
          <w:lang w:val="es-AR" w:eastAsia="es-AR" w:bidi="es-AR"/>
        </w:rPr>
        <w:t xml:space="preserve">En consecuencia, no corresponde asignar valor probatorio, a los fines de decidir este recurso, a aquellos elementos cuya producción fue oportunamente denegada y cuya incorporación al proceso no fue objeto de una impugnación eficaz.</w:t>
      </w:r>
    </w:p>
    <w:p>
      <w:pPr>
        <w:pStyle w:val="[Normal]"/>
        <w:spacing w:line="360" w:lineRule="auto"/>
        <w:ind w:firstLine="1134"/>
        <w:jc w:val="both"/>
        <w:rPr>
          <w:lang w:val="es-AR" w:eastAsia="es-AR" w:bidi="es-AR"/>
        </w:rPr>
      </w:pPr>
      <w:r>
        <w:rPr>
          <w:lang w:val="es-AR" w:eastAsia="es-AR" w:bidi="es-AR"/>
        </w:rPr>
        <w:t xml:space="preserve">Asimismo, no escapa a este Tribunal que la propia recurrente reconoció en su memorial haber incurrido en un error involuntario en su presentación originaria, circunstancia que en modo alguno puede trasladarse en perjuicio de la contraria ni habilitar la reapertura de una cuestión ya precluida</w:t>
      </w:r>
    </w:p>
    <w:p>
      <w:pPr>
        <w:pStyle w:val="[Normal]"/>
        <w:spacing w:line="360" w:lineRule="auto"/>
        <w:ind w:firstLine="1134"/>
        <w:jc w:val="both"/>
        <w:rPr>
          <w:lang w:val="es-AR" w:eastAsia="es-AR" w:bidi="es-AR"/>
        </w:rPr>
      </w:pPr>
      <w:r>
        <w:rPr>
          <w:lang w:val="es-AR" w:eastAsia="es-AR" w:bidi="es-AR"/>
        </w:rPr>
        <w:t xml:space="preserve">Además, la circunstancia de que determinados documentos pudieran encontrarse materialmente incorporados al expediente electrónico no modifica su situación procesal. La existencia material de una constancia no equivale, por sí sola, a su incorporación como elemento probatorio susceptible de valoración jurisdiccional cuando su producción fue expresamente rechazada por una decisión firme, por ello, los agravios dirigidos a cuestionar la falta de valoración de aquella prueba deben ser desestimados.</w:t>
      </w:r>
    </w:p>
    <w:p>
      <w:pPr>
        <w:pStyle w:val="[Normal]"/>
        <w:spacing w:line="360" w:lineRule="auto"/>
        <w:ind w:firstLine="1134"/>
        <w:jc w:val="both"/>
        <w:rPr>
          <w:lang w:val="es-AR" w:eastAsia="es-AR" w:bidi="es-AR"/>
        </w:rPr>
      </w:pPr>
      <w:r>
        <w:rPr>
          <w:lang w:val="es-AR" w:eastAsia="es-AR" w:bidi="es-AR"/>
        </w:rPr>
        <w:t xml:space="preserve">En cuanto a la queja ensayada sobre valoración de la prueba testimonial y reglas de la sana crítica, descartada -por lo expuesto en el considerando precedente- la incorporación válida de la prueba documental e informativa ofrecida por la demandada, el material probatorio sobre cuya base debe examinarse el agravio relativo a la valoración de la prueba es, precisamente, aquel que fue válidamente producido en autos: la declaración jurada patrimonial del peticionante y las declaraciones testimoniales oportunamente ratificadas.</w:t>
      </w:r>
    </w:p>
    <w:p>
      <w:pPr>
        <w:pStyle w:val="[Normal]"/>
        <w:spacing w:line="360" w:lineRule="auto"/>
        <w:ind w:firstLine="1134"/>
        <w:jc w:val="both"/>
        <w:rPr>
          <w:lang w:val="es-AR" w:eastAsia="es-AR" w:bidi="es-AR"/>
        </w:rPr>
      </w:pPr>
      <w:r>
        <w:rPr>
          <w:lang w:val="es-AR" w:eastAsia="es-AR" w:bidi="es-AR"/>
        </w:rPr>
        <w:t xml:space="preserve">Cabe recordar que es doctrina invariable del Tribunal inspirada en uniforme jurisprudencia, que el otorgamiento del beneficio de pobreza tiene como objetivo mantener las garantías constitucionales de defensa en juicio e igualdad ante la ley (arts. 15 y 16 Constitución Nacional, 10 y 15 Constitución Provincial), siendo sus requisitos la necesidad de defender derechos propios y la carencia de recursos del solicitante, a cuyo cargo queda la acreditación de la insuficiencia invocada, debiendo arrimar toda la prueba indispensable acorde con las exigencias del art. 79 del ritual. En consecuencia debe ser acordado cuando el peticionante no posee medios suficientes para costear el juicio, aunque su estado no sea de absoluta insolvencia o indigencia y aunque tenga lo indispensable para obtener su sustento (cfr. Colombo, Código Procesal, Bs. As. 1969, Tº I, pág. 487, CAP C 2602/97, RSI 180/98, entre otros).-</w:t>
      </w:r>
    </w:p>
    <w:p>
      <w:pPr>
        <w:pStyle w:val="[Normal]"/>
        <w:spacing w:line="360" w:lineRule="auto"/>
        <w:ind w:firstLine="1134"/>
        <w:jc w:val="both"/>
        <w:rPr>
          <w:lang w:val="es-AR" w:eastAsia="es-AR" w:bidi="es-AR"/>
        </w:rPr>
      </w:pPr>
      <w:r>
        <w:rPr>
          <w:lang w:val="es-AR" w:eastAsia="es-AR" w:bidi="es-AR"/>
        </w:rPr>
        <w:t xml:space="preserve">Pero también es cierto que frente al fundamento de esta institución motivada en la necesidad de preservar la operancia de garantías constitucionales se encuentra también presente la necesidad de evitar concesiones "graciosas" que ocasionen resultados injustos e indiscutiblemente no deseados por el legislador, que a la postre acarrean resultados disvaliosos.-</w:t>
      </w:r>
    </w:p>
    <w:p>
      <w:pPr>
        <w:pStyle w:val="[Normal]"/>
        <w:spacing w:line="360" w:lineRule="auto"/>
        <w:ind w:firstLine="1134"/>
        <w:jc w:val="both"/>
        <w:rPr>
          <w:lang w:val="es-AR" w:eastAsia="es-AR" w:bidi="es-AR"/>
        </w:rPr>
      </w:pPr>
      <w:r>
        <w:rPr>
          <w:lang w:val="es-AR" w:eastAsia="es-AR" w:bidi="es-AR"/>
        </w:rPr>
        <w:t xml:space="preserve">Para lograr este delicado equilibrio es que la norma deja librado al prudente arbitrio judicial el otorgamiento o no del beneficio, en tanto la carencia de recursos es una cuestión de hecho y será éste quien determinará según las circunstancias fácticas cuando una persona carece de medios suficientes para afrontar el pago de los honorarios y gastos causídicos que puede originar el proceso.-</w:t>
      </w:r>
    </w:p>
    <w:p>
      <w:pPr>
        <w:pStyle w:val="[Normal]"/>
        <w:spacing w:line="360" w:lineRule="auto"/>
        <w:ind w:firstLine="1134"/>
        <w:jc w:val="both"/>
        <w:rPr>
          <w:lang w:val="es-AR" w:eastAsia="es-AR" w:bidi="es-AR"/>
        </w:rPr>
      </w:pPr>
      <w:r>
        <w:rPr>
          <w:lang w:val="es-AR" w:eastAsia="es-AR" w:bidi="es-AR"/>
        </w:rPr>
        <w:t xml:space="preserve">Habiendo omitido el legislador referencias tasadas sobre el concepto de pobreza, por ser este contingente y relativo (C.S.J.N., en "Fallos", 311:1372), la concesión del beneficio en cuestión queda librada a la prudente apreciación judicial, en tanto los medios probatorios incorporados al proceso sean capaces de llevar al ánimo del juzgador la verosimilitud de las condiciones de pobreza alegadas. En cada situación concreta, el juez debe efectuar un examen particularizado a fin de determinar si se configuran los presupuestos exigidos para el otorgamiento del referido instituto (C.S.J.N., en "Fallos", 311:1372 y 313:1015; esta Sala, causas B-82.613, reg. int. 95/96 y B-83.879, reg. int. 373/96).</w:t>
      </w:r>
    </w:p>
    <w:p>
      <w:pPr>
        <w:pStyle w:val="[Normal]"/>
        <w:spacing w:line="360" w:lineRule="auto"/>
        <w:ind w:firstLine="1134"/>
        <w:jc w:val="both"/>
        <w:rPr>
          <w:lang w:val="es-AR" w:eastAsia="es-AR" w:bidi="es-AR"/>
        </w:rPr>
      </w:pPr>
      <w:r>
        <w:rPr>
          <w:lang w:val="es-AR" w:eastAsia="es-AR" w:bidi="es-AR"/>
        </w:rPr>
        <w:t xml:space="preserve">En el caso, el juzgado tuvo en consideración la declaración jurada patrimonial presentada por el peticionante, las declaraciones testimoniales producidas y posteriormente ratificadas, así como las restantes circunstancias que entendió relevantes para determinar su capacidad económica.</w:t>
      </w:r>
    </w:p>
    <w:p>
      <w:pPr>
        <w:pStyle w:val="[Normal]"/>
        <w:spacing w:line="360" w:lineRule="auto"/>
        <w:ind w:firstLine="1134"/>
        <w:jc w:val="both"/>
        <w:rPr>
          <w:lang w:val="es-AR" w:eastAsia="es-AR" w:bidi="es-AR"/>
        </w:rPr>
      </w:pPr>
      <w:r>
        <w:rPr>
          <w:lang w:val="es-AR" w:eastAsia="es-AR" w:bidi="es-AR"/>
        </w:rPr>
        <w:t xml:space="preserve">Así, las declaraciones testimoniales fueron contestes en cuanto a que el actor se desempeña como empleado en la agencia de venta de vehículos usados de su padre y que alquila la vivienda en la que reside, extremos que resultan compatibles con la situación de estrechez económica invocada. </w:t>
      </w:r>
    </w:p>
    <w:p>
      <w:pPr>
        <w:pStyle w:val="[Normal]"/>
        <w:spacing w:line="360" w:lineRule="auto"/>
        <w:ind w:firstLine="1134"/>
        <w:jc w:val="both"/>
        <w:rPr>
          <w:lang w:val="es-AR" w:eastAsia="es-AR" w:bidi="es-AR"/>
        </w:rPr>
      </w:pPr>
      <w:r>
        <w:rPr>
          <w:lang w:val="es-AR" w:eastAsia="es-AR" w:bidi="es-AR"/>
        </w:rPr>
        <w:t xml:space="preserve">Además, la demandada, pese a encontrarse debidamente notificada de la audiencia de ratificación, no ejerció la facultad de repreguntar a los testigos, circunstancia que debilita la crítica ahora ensayada respecto de la pretendida orfandad de contenido de dichas declaraciones.</w:t>
      </w:r>
    </w:p>
    <w:p>
      <w:pPr>
        <w:pStyle w:val="[Normal]"/>
        <w:spacing w:line="360" w:lineRule="auto"/>
        <w:ind w:firstLine="1134"/>
        <w:jc w:val="both"/>
        <w:rPr>
          <w:lang w:val="es-AR" w:eastAsia="es-AR" w:bidi="es-AR"/>
        </w:rPr>
      </w:pPr>
      <w:r>
        <w:rPr>
          <w:lang w:val="es-AR" w:eastAsia="es-AR" w:bidi="es-AR"/>
        </w:rPr>
        <w:t xml:space="preserve">La recurrente pretende oponer determinadas circunstancias relativas al patrimonio y a la actividad del peticionante, pero, como se señaló, los elementos en los que sustenta esa afirmación no fueron incorporados válidamente como prueba susceptible de valoración en razón de la decisión procesal que rechazó oportunamente su producción.</w:t>
      </w:r>
    </w:p>
    <w:p>
      <w:pPr>
        <w:pStyle w:val="[Normal]"/>
        <w:spacing w:line="360" w:lineRule="auto"/>
        <w:ind w:firstLine="1134"/>
        <w:jc w:val="both"/>
        <w:rPr>
          <w:lang w:val="es-AR" w:eastAsia="es-AR" w:bidi="es-AR"/>
        </w:rPr>
      </w:pPr>
      <w:r>
        <w:rPr>
          <w:lang w:val="es-AR" w:eastAsia="es-AR" w:bidi="es-AR"/>
        </w:rPr>
        <w:t xml:space="preserve">Entonces el agravio, se sustenta centralmente en la prueba instrumental cuya extemporaneidad ya quedó firme, no logra demostrar la existencia de absurdo, arbitrariedad o apartamiento de las reglas de la sana crítica en la valoración efectuada por el a quo respecto de la prueba efectivamente incorporada al proceso. La mera discrepancia con las conclusiones del sentenciante no satisface las exigencias de fundamentación que impone la normativa procesal, siendo necesaria una crítica concreta, razonada y circunstanciada de los fundamentos esenciales del fallo, la que en el caso no se verifica más allá de la remisión a elementos probatorios no admitidos ( arts. 260,  384 y 456 del C.P.C. y C.).</w:t>
      </w:r>
    </w:p>
    <w:p>
      <w:pPr>
        <w:pStyle w:val="[Normal]"/>
        <w:spacing w:line="360" w:lineRule="auto"/>
        <w:ind w:firstLine="1134"/>
        <w:jc w:val="both"/>
        <w:rPr>
          <w:lang w:val="es-AR" w:eastAsia="es-AR" w:bidi="es-AR"/>
        </w:rPr>
      </w:pPr>
      <w:r>
        <w:rPr>
          <w:lang w:val="es-AR" w:eastAsia="es-AR" w:bidi="es-AR"/>
        </w:rPr>
        <w:t xml:space="preserve">De allí que la crítica a la valoración probatoria efectuada por el sentenciante parte, en definitiva, de incorporar al análisis elementos que no pueden ser considerados para modificar la solución adoptada, por lo que corresponde rechazar el agravio identificado como c) del memorial.</w:t>
      </w:r>
    </w:p>
    <w:p>
      <w:pPr>
        <w:pStyle w:val="[Normal]"/>
        <w:spacing w:line="360" w:lineRule="auto"/>
        <w:ind w:firstLine="1134"/>
        <w:jc w:val="both"/>
        <w:rPr>
          <w:lang w:val="es-AR" w:eastAsia="es-AR" w:bidi="es-AR"/>
        </w:rPr>
      </w:pPr>
      <w:r>
        <w:rPr>
          <w:lang w:val="es-AR" w:eastAsia="es-AR" w:bidi="es-AR"/>
        </w:rPr>
        <w:t xml:space="preserve">En relación a la alegada existencia de bienes, actividad profesional y participación societaria. merece una consideración adicional y es que aun cuando se prescindiera de la objeción procesal antes desarrollada y se admitiera, a los fines meramente argumentales, la existencia de las circunstancias invocadas, de ello no se seguiría automáticamente la improcedencia del beneficio.</w:t>
      </w:r>
    </w:p>
    <w:p>
      <w:pPr>
        <w:pStyle w:val="[Normal]"/>
        <w:spacing w:line="360" w:lineRule="auto"/>
        <w:ind w:firstLine="1134"/>
        <w:jc w:val="both"/>
        <w:rPr>
          <w:lang w:val="es-AR" w:eastAsia="es-AR" w:bidi="es-AR"/>
        </w:rPr>
      </w:pPr>
      <w:r>
        <w:rPr>
          <w:lang w:val="es-AR" w:eastAsia="es-AR" w:bidi="es-AR"/>
        </w:rPr>
        <w:t xml:space="preserve">Es que, la titularidad de un bien, la existencia de una participación societaria o la inscripción profesional no constituyen, consideradas aisladamente, una demostración suficiente de que la persona solicitante se encuentre en condiciones de afrontar los gastos de un proceso sin que ello resulte económicamente gravoso, ya que lo que debe determinarse es si, en las circunstancias concretas del caso, la persona cuenta con recursos efectivos y disponibles que le permitan afrontar las erogaciones derivadas del proceso.</w:t>
      </w:r>
    </w:p>
    <w:p>
      <w:pPr>
        <w:pStyle w:val="[Normal]"/>
        <w:spacing w:line="360" w:lineRule="auto"/>
        <w:ind w:firstLine="1134"/>
        <w:jc w:val="both"/>
        <w:rPr>
          <w:lang w:val="es-AR" w:eastAsia="es-AR" w:bidi="es-AR"/>
        </w:rPr>
      </w:pPr>
      <w:r>
        <w:rPr>
          <w:lang w:val="es-AR" w:eastAsia="es-AR" w:bidi="es-AR"/>
        </w:rPr>
        <w:t xml:space="preserve">En otras palabras, no corresponde confundir la existencia de un activo patrimonial con la disponibilidad económica inmediata necesaria para solventar los gastos judiciales, en el caso como señale el juez de grado ponderó precisamente los ingresos denunciados, la situación patrimonial exteriorizada, la prueba testimonial y la magnitud económica del juicio principal, valoración integral que condujo a la conclusión de que correspondía conceder el beneficio.</w:t>
      </w:r>
    </w:p>
    <w:p>
      <w:pPr>
        <w:pStyle w:val="[Normal]"/>
        <w:spacing w:line="360" w:lineRule="auto"/>
        <w:ind w:firstLine="1134"/>
        <w:jc w:val="both"/>
        <w:rPr>
          <w:lang w:val="es-AR" w:eastAsia="es-AR" w:bidi="es-AR"/>
        </w:rPr>
      </w:pPr>
      <w:r>
        <w:rPr>
          <w:lang w:val="es-AR" w:eastAsia="es-AR" w:bidi="es-AR"/>
        </w:rPr>
        <w:t xml:space="preserve">La recurrente no demuestra que esa conclusión resulte absurda ni que exista una relación necesaria entre las circunstancias que invoca y una efectiva capacidad económica suficiente para afrontar los gastos del proceso.</w:t>
      </w:r>
    </w:p>
    <w:p>
      <w:pPr>
        <w:pStyle w:val="[Normal]"/>
        <w:spacing w:line="360" w:lineRule="auto"/>
        <w:ind w:firstLine="1134"/>
        <w:jc w:val="both"/>
        <w:rPr>
          <w:lang w:val="es-AR" w:eastAsia="es-AR" w:bidi="es-AR"/>
        </w:rPr>
      </w:pPr>
      <w:r>
        <w:rPr>
          <w:lang w:val="es-AR" w:eastAsia="es-AR" w:bidi="es-AR"/>
        </w:rPr>
        <w:t xml:space="preserve">Finalmente, la demandada cuestiona la imposición de las costas del incidente y tampoco este agravio resulta atendible, en tanto la resolución apelada impuso las costas a la parte demandada por considerar que, al contestar la vista del art. 81 del Código Procesal, se había opuesto expresamente al otorgamiento del beneficio y había resultado vencida en esa pretensión.</w:t>
      </w:r>
    </w:p>
    <w:p>
      <w:pPr>
        <w:pStyle w:val="[Normal]"/>
        <w:spacing w:line="360" w:lineRule="auto"/>
        <w:ind w:firstLine="1134"/>
        <w:jc w:val="both"/>
        <w:rPr>
          <w:lang w:val="es-AR" w:eastAsia="es-AR" w:bidi="es-AR"/>
        </w:rPr>
      </w:pPr>
      <w:r>
        <w:rPr>
          <w:lang w:val="es-AR" w:eastAsia="es-AR" w:bidi="es-AR"/>
        </w:rPr>
        <w:t xml:space="preserve">Tal solución se ajusta al principio objetivo de la derrota ya que,  en efecto, la demandada compareció al incidente y sostuvo la improcedencia del beneficio, mientras que la decisión finalmente adoptada fue favorable al peticionante, por lo que no se advierten circunstancias excepcionales que justifiquen apartarse del principio general en materia de costas (Art. 68 y ccs. del C.P.C. y C.).</w:t>
      </w:r>
    </w:p>
    <w:p>
      <w:pPr>
        <w:pStyle w:val="[Normal]"/>
        <w:spacing w:line="360" w:lineRule="auto"/>
        <w:ind w:firstLine="1134"/>
        <w:jc w:val="both"/>
        <w:rPr>
          <w:lang w:val="es-AR" w:eastAsia="es-AR" w:bidi="es-AR"/>
        </w:rPr>
      </w:pPr>
      <w:r>
        <w:rPr>
          <w:lang w:val="es-AR" w:eastAsia="es-AR" w:bidi="es-AR"/>
        </w:rPr>
        <w:t xml:space="preserve">Por  las razones dadas, citas legales de referencia y con el alcance indicado,</w:t>
      </w:r>
    </w:p>
    <w:p>
      <w:pPr>
        <w:pStyle w:val="[Normal]"/>
        <w:spacing w:line="360" w:lineRule="auto"/>
        <w:ind w:firstLine="1134"/>
        <w:jc w:val="both"/>
        <w:rPr>
          <w:lang w:val="es-AR" w:eastAsia="es-AR" w:bidi="es-AR"/>
        </w:rPr>
      </w:pPr>
      <w:r>
        <w:rPr>
          <w:b/>
          <w:lang w:val="es-AR" w:eastAsia="es-AR" w:bidi="es-AR"/>
        </w:rPr>
        <w:t xml:space="preserve">VOTO POR LA AFIRMATIVA.</w:t>
      </w:r>
    </w:p>
    <w:p>
      <w:pPr>
        <w:pStyle w:val="[Normal]"/>
        <w:spacing w:line="360" w:lineRule="auto"/>
        <w:ind w:firstLine="1134"/>
        <w:jc w:val="both"/>
        <w:rPr>
          <w:lang w:val="es-AR" w:eastAsia="es-AR" w:bidi="es-AR"/>
        </w:rPr>
      </w:pPr>
      <w:r>
        <w:rPr>
          <w:lang w:val="es-AR" w:eastAsia="es-AR" w:bidi="es-AR"/>
        </w:rPr>
        <w:t xml:space="preserve">A la misma cuestión la señora Jueza Graciela Scaraffia por análogos fundamentos votó en el mismo sentido.-</w:t>
      </w:r>
    </w:p>
    <w:p>
      <w:pPr>
        <w:pStyle w:val="[Normal]"/>
        <w:spacing w:line="360" w:lineRule="auto"/>
        <w:ind w:firstLine="1134"/>
        <w:jc w:val="both"/>
        <w:rPr>
          <w:lang w:val="es-AR" w:eastAsia="es-AR" w:bidi="es-AR"/>
        </w:rPr>
      </w:pPr>
      <w:r>
        <w:rPr>
          <w:lang w:val="es-AR" w:eastAsia="es-AR" w:bidi="es-AR"/>
        </w:rPr>
        <w:t xml:space="preserve">A la segunda cuestión el señor Juez Roberto Degleue dijo: de conformidad al resultado habido al tratarse la cuestión precedente, estimo que el pronunciamiento que corresponde dictar es: </w:t>
      </w:r>
    </w:p>
    <w:p>
      <w:pPr>
        <w:pStyle w:val="[Normal]"/>
        <w:spacing w:line="360" w:lineRule="auto"/>
        <w:ind w:firstLine="1134"/>
        <w:jc w:val="both"/>
        <w:rPr>
          <w:lang w:val="es-AR" w:eastAsia="es-AR" w:bidi="es-AR"/>
        </w:rPr>
      </w:pPr>
      <w:r>
        <w:rPr>
          <w:lang w:val="es-AR" w:eastAsia="es-AR" w:bidi="es-AR"/>
        </w:rPr>
        <w:t xml:space="preserve">Rechazar el recurso de apelación deducido y en su mérito confirmar la sentencia primera en todas sus partes, con costas a la apelante en su calidad de  vencida (Art. 68 del C.P.C. y C.).</w:t>
      </w:r>
    </w:p>
    <w:p>
      <w:pPr>
        <w:pStyle w:val="[Normal]"/>
        <w:spacing w:line="360" w:lineRule="auto"/>
        <w:ind w:firstLine="1134"/>
        <w:jc w:val="both"/>
        <w:rPr>
          <w:lang w:val="es-AR" w:eastAsia="es-AR" w:bidi="es-AR"/>
        </w:rPr>
      </w:pPr>
      <w:r>
        <w:rPr>
          <w:lang w:val="es-AR" w:eastAsia="es-AR" w:bidi="es-AR"/>
        </w:rPr>
        <w:t xml:space="preserve">Diferir la regulación de los honorarios para su oportunidad (Art. 30 ley arancelaria).</w:t>
      </w:r>
    </w:p>
    <w:p>
      <w:pPr>
        <w:pStyle w:val="[Normal]"/>
        <w:spacing w:line="360" w:lineRule="auto"/>
        <w:ind w:firstLine="1134"/>
        <w:jc w:val="both"/>
        <w:rPr>
          <w:lang w:val="es-AR" w:eastAsia="es-AR" w:bidi="es-AR"/>
        </w:rPr>
      </w:pPr>
      <w:r>
        <w:rPr>
          <w:b/>
          <w:lang w:val="es-AR" w:eastAsia="es-AR" w:bidi="es-AR"/>
        </w:rPr>
        <w:t xml:space="preserve">ASI LO VOTO</w:t>
      </w:r>
      <w:r>
        <w:rPr>
          <w:lang w:val="es-AR" w:eastAsia="es-AR" w:bidi="es-AR"/>
        </w:rPr>
        <w:t xml:space="preserve">. </w:t>
      </w:r>
    </w:p>
    <w:p>
      <w:pPr>
        <w:pStyle w:val="[Normal]"/>
        <w:spacing w:line="360" w:lineRule="auto"/>
        <w:ind w:firstLine="1134"/>
        <w:jc w:val="both"/>
        <w:rPr>
          <w:lang w:val="es-AR" w:eastAsia="es-AR" w:bidi="es-AR"/>
        </w:rPr>
      </w:pPr>
      <w:r>
        <w:rPr>
          <w:lang w:val="es-AR" w:eastAsia="es-AR" w:bidi="es-AR"/>
        </w:rPr>
        <w:t xml:space="preserve">A la misma cuestión la señora Jueza Graciela Scaraffia por análogos fundamentos votó en el mismo sentido.-</w:t>
      </w:r>
    </w:p>
    <w:p>
      <w:pPr>
        <w:pStyle w:val="[Normal]"/>
        <w:spacing w:line="360" w:lineRule="auto"/>
        <w:ind w:firstLine="1134"/>
        <w:jc w:val="both"/>
        <w:rPr>
          <w:lang w:val="es-AR" w:eastAsia="es-AR" w:bidi="es-AR"/>
        </w:rPr>
      </w:pPr>
      <w:r>
        <w:rPr>
          <w:lang w:val="es-AR" w:eastAsia="es-AR" w:bidi="es-AR"/>
        </w:rPr>
        <w:t xml:space="preserve">Con lo que terminó el presente Acuerdo, dictándose la siguiente;</w:t>
      </w:r>
    </w:p>
    <w:p>
      <w:pPr>
        <w:pStyle w:val="[Normal]"/>
        <w:spacing w:line="360" w:lineRule="auto"/>
        <w:ind w:firstLine="1134"/>
        <w:jc w:val="both"/>
        <w:rPr>
          <w:lang w:val="es-AR" w:eastAsia="es-AR" w:bidi="es-AR"/>
        </w:rPr>
      </w:pPr>
      <w:r>
        <w:rPr>
          <w:b/>
          <w:lang w:val="es-AR" w:eastAsia="es-AR" w:bidi="es-AR"/>
        </w:rPr>
        <w:t xml:space="preserve">S E N T E N C I A:</w:t>
      </w:r>
    </w:p>
    <w:p>
      <w:pPr>
        <w:pStyle w:val="[Normal]"/>
        <w:spacing w:line="360" w:lineRule="auto"/>
        <w:ind w:firstLine="1134"/>
        <w:jc w:val="both"/>
        <w:rPr>
          <w:lang w:val="es-AR" w:eastAsia="es-AR" w:bidi="es-AR"/>
        </w:rPr>
      </w:pPr>
      <w:r>
        <w:rPr>
          <w:lang w:val="es-AR" w:eastAsia="es-AR" w:bidi="es-AR"/>
        </w:rPr>
        <w:t xml:space="preserve">Rechazar el recurso de apelación deducido y en su mérito confirmar la sentencia primera en todas sus partes, con costas a la apelante en su calidad de vencida (Art. 68 del C.P.C. y C.).</w:t>
      </w:r>
    </w:p>
    <w:p>
      <w:pPr>
        <w:pStyle w:val="[Normal]"/>
        <w:spacing w:line="360" w:lineRule="auto"/>
        <w:ind w:firstLine="1134"/>
        <w:jc w:val="both"/>
        <w:rPr>
          <w:lang w:val="es-AR" w:eastAsia="es-AR" w:bidi="es-AR"/>
        </w:rPr>
      </w:pPr>
      <w:r>
        <w:rPr>
          <w:lang w:val="es-AR" w:eastAsia="es-AR" w:bidi="es-AR"/>
        </w:rPr>
        <w:t xml:space="preserve">Diferir la regulación de los honorarios  para su oportunidad (Art. 30 ley arancelaria).</w:t>
      </w:r>
    </w:p>
    <w:p>
      <w:pPr>
        <w:pStyle w:val="[Normal]"/>
        <w:spacing w:line="360" w:lineRule="auto"/>
        <w:ind w:firstLine="1134"/>
        <w:jc w:val="both"/>
        <w:rPr>
          <w:color w:val="000000"/>
          <w:lang w:val="es-AR" w:eastAsia="es-AR" w:bidi="es-AR"/>
        </w:rPr>
      </w:pPr>
      <w:r>
        <w:rPr>
          <w:lang w:val="es-AR" w:eastAsia="es-AR" w:bidi="es-AR"/>
        </w:rPr>
        <w:t xml:space="preserve">Regístrese. Notifíquese por Secretaría (Ac. 4013 SCBA) remitiéndose copia digital de la presente sentencia a los domicilios electrónicos de las respectivas partes. Devuélvase.</w:t>
      </w:r>
    </w:p>
    <w:p>
      <w:pPr>
        <w:pStyle w:val="[Normal]"/>
        <w:spacing w:line="480" w:lineRule="auto"/>
        <w:ind w:firstLine="1134"/>
        <w:jc w:val="both"/>
        <w:rPr>
          <w:color w:val="000000"/>
          <w:lang w:val="es-AR" w:eastAsia="es-AR" w:bidi="es-AR"/>
        </w:rPr>
      </w:pPr>
      <w:r>
        <w:rPr>
          <w:color w:val="000000"/>
          <w:lang w:val="es-AR" w:eastAsia="es-AR" w:bidi="es-AR"/>
        </w:rPr>
        <w:t xml:space="preserve"> </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rPr>
          <w:lang w:val="es-AR" w:eastAsia="es-AR" w:bidi="es-AR"/>
        </w:rPr>
      </w:pPr>
      <w:r>
        <w:rPr>
          <w:lang w:val="es-AR" w:eastAsia="es-AR" w:bidi="es-AR"/>
        </w:rPr>
        <w:br w:type="textWrapping"/>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34" w:after="134"/>
        <w:rPr>
          <w:lang w:val="es-AR" w:eastAsia="es-AR" w:bidi="es-AR"/>
        </w:rPr>
      </w:pPr>
      <w:r>
        <w:rPr>
          <w:rStyle w:val="B"/>
          <w:u w:val="single"/>
          <w:lang w:val="es-AR" w:eastAsia="es-AR" w:bidi="es-AR"/>
        </w:rPr>
        <w:t xml:space="preserve">REFERENCIAS: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34" w:after="134"/>
        <w:rPr>
          <w:lang w:val="es-AR" w:eastAsia="es-AR" w:bidi="es-AR"/>
        </w:rPr>
      </w:pPr>
      <w:r>
        <w:rPr>
          <w:lang w:val="es-AR" w:eastAsia="es-AR" w:bidi="es-AR"/>
        </w:rPr>
        <w:t xml:space="preserve">Funcionario Firmante: 17/09/2026 11:21:04 - SCARAFFIA Graciela Hilda - JUEZ</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34" w:after="134"/>
        <w:rPr>
          <w:lang w:val="es-AR" w:eastAsia="es-AR" w:bidi="es-AR"/>
        </w:rPr>
      </w:pPr>
      <w:r>
        <w:rPr>
          <w:lang w:val="es-AR" w:eastAsia="es-AR" w:bidi="es-AR"/>
        </w:rPr>
        <w:t xml:space="preserve">Funcionario Firmante: 17/09/2026 11:22:39 - DEGLEUE Roberto Manuel - JUEZ</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34" w:after="134"/>
        <w:rPr>
          <w:lang w:val="es-AR" w:eastAsia="es-AR" w:bidi="es-AR"/>
        </w:rPr>
      </w:pPr>
      <w:r>
        <w:rPr>
          <w:lang w:val="es-AR" w:eastAsia="es-AR" w:bidi="es-AR"/>
        </w:rPr>
        <w:t xml:space="preserve">Funcionario Firmante: 17/09/2026 13:16:32 - PELUSA Juan Cruz - AUXILIAR LETRADO</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336" w:after="336"/>
        <w:rPr>
          <w:rFonts w:ascii="BarCode 128" w:hAnsi="BarCode 128" w:eastAsia="BarCode 128" w:cs="BarCode 128"/>
          <w:sz w:val="60"/>
          <w:lang w:val="es-AR" w:eastAsia="es-AR" w:bidi="es-AR"/>
        </w:rPr>
      </w:pPr>
      <w:r>
        <w:rPr>
          <w:rFonts w:ascii="BarCode 128" w:hAnsi="BarCode 128" w:eastAsia="BarCode 128" w:cs="BarCode 128"/>
          <w:sz w:val="60"/>
          <w:lang w:val="es-AR" w:eastAsia="es-AR" w:bidi="es-AR"/>
        </w:rPr>
        <w:t xml:space="preserve">‰6q")è'$,:*Š</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12" w:after="112"/>
        <w:rPr>
          <w:sz w:val="20"/>
          <w:lang w:val="es-AR" w:eastAsia="es-AR" w:bidi="es-AR"/>
        </w:rPr>
      </w:pPr>
      <w:r>
        <w:rPr>
          <w:sz w:val="20"/>
          <w:lang w:val="es-AR" w:eastAsia="es-AR" w:bidi="es-AR"/>
        </w:rPr>
        <w:t xml:space="preserve">228102090007041226</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rPr>
          <w:lang w:val="es-AR" w:eastAsia="es-AR" w:bidi="es-AR"/>
        </w:rPr>
      </w:pPr>
      <w:r>
        <w:rPr>
          <w:lang w:val="es-AR" w:eastAsia="es-AR" w:bidi="es-AR"/>
        </w:rPr>
        <w:br w:type="textWrapping"/>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34" w:after="134"/>
        <w:rPr>
          <w:lang w:val="es-AR" w:eastAsia="es-AR" w:bidi="es-AR"/>
        </w:rPr>
      </w:pPr>
      <w:r>
        <w:rPr>
          <w:rStyle w:val="B"/>
          <w:lang w:val="es-AR" w:eastAsia="es-AR" w:bidi="es-AR"/>
        </w:rPr>
        <w:t xml:space="preserve">CAMARA DE APELACION EN LO CIVIL Y COMERCIAL PERGAMINO</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34" w:after="134"/>
        <w:rPr>
          <w:lang w:val="es-AR" w:eastAsia="es-AR" w:bidi="es-AR"/>
        </w:rPr>
      </w:pPr>
      <w:r>
        <w:rPr>
          <w:rStyle w:val="B"/>
          <w:u w:val="single"/>
          <w:lang w:val="es-AR" w:eastAsia="es-AR" w:bidi="es-AR"/>
        </w:rPr>
        <w:t xml:space="preserve">NO CONTIENE ARCHIVOS ADJUNTOS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34" w:after="134"/>
        <w:rPr>
          <w:lang w:val="es-AR" w:eastAsia="es-AR" w:bidi="es-AR"/>
        </w:rPr>
      </w:pPr>
      <w:r>
        <w:rPr>
          <w:lang w:val="es-AR" w:eastAsia="es-AR" w:bidi="es-AR"/>
        </w:rPr>
        <w:t xml:space="preserve">Registrado en REGISTRO DE SENTENCIAS el 17/09/2026 13:17:03 hs. bajo el número RS-154-2026 por PELUSA JUAN.</w:t>
      </w:r>
    </w:p>
    <w:p>
      <w:pPr>
        <w:pStyle w:val="[Normal]"/>
        <w:rPr>
          <w:lang w:val="es-AR" w:eastAsia="es-AR" w:bidi="es-AR"/>
        </w:rPr>
      </w:pPr>
    </w:p>
    <w:sectPr>
      <w:pgSz w:w="11906" w:h="16832"/>
      <w:pgMar w:top="2835" w:right="850" w:bottom="1134" w:left="2835" w:header="567" w:footer="567"/>
      <w:pgBorders w:display="allPages" w:offsetFrom="page"/>
    </w:sectPr>
  </w:body>
</w:document>
</file>

<file path=word/fontTable.xml><?xml version="1.0" encoding="utf-8"?>
<w:fonts xmlns:w="http://schemas.openxmlformats.org/wordprocessingml/2006/main">
  <w:font w:name="Arial">
    <w:panose1 w:val="020B0604020202020204"/>
    <w:charset w:val="00"/>
    <w:family w:val="swiss"/>
    <w:pitch w:val="variable"/>
    <w:sig w:usb0="E0002EFF" w:usb1="C000785B" w:usb2="00000009" w:usb3="00000000" w:csb0="400001FF" w:csb1="FFFF0000"/>
  </w:font>
  <w:font w:name="Times New Roman">
    <w:panose1 w:val="02020603050405020304"/>
    <w:charset w:val="00"/>
    <w:family w:val="roman"/>
    <w:pitch w:val="variable"/>
    <w:sig w:usb0="E0002EFF" w:usb1="C000785B" w:usb2="00000009" w:usb3="00000000" w:csb0="400001FF" w:csb1="FFFF0000"/>
  </w:font>
  <w:font w:name="Symbol">
    <w:panose1 w:val="05050102010706020507"/>
    <w:charset w:val="02"/>
    <w:family w:val="roman"/>
    <w:pitch w:val="variable"/>
    <w:sig w:usb0="00000000" w:usb1="00000000" w:usb2="00000000" w:usb3="00000000" w:csb0="80000000" w:csb1="00000000"/>
  </w:font>
  <w:font w:name="BarCode 128">
    <w:charset w:val="00"/>
    <w:family w:val="auto"/>
    <w:pitch w:val="variable"/>
  </w:font>
</w:fonts>
</file>

<file path=word/settings.xml><?xml version="1.0" encoding="utf-8"?>
<w:settings xmlns:w="http://schemas.openxmlformats.org/wordprocessingml/2006/main" xmlns:mc="http://schemas.openxmlformats.org/markup-compatibility/2006" xmlns:tx24="http://schemas.textcontrol.com/tx/2400" xmlns:tx25="http://schemas.textcontrol.com/tx/2500" mc:Ignorable="tx24 tx25">
  <w:bordersDoNotSurroundHeader/>
  <w:bordersDoNotSurroundFooter/>
  <w:defaultTabStop w:val="1134"/>
  <w:compat>
    <w:noExtraLineSpacing/>
  </w:compat>
  <tx24:txVer tx24:val="25.0.323.500"/>
</w:settings>
</file>

<file path=word/styles.xml><?xml version="1.0" encoding="utf-8"?>
<w:styles xmlns:w="http://schemas.openxmlformats.org/wordprocessingml/2006/main">
  <w:docDefaults>
    <w:rPrDefault>
      <w:rPr>
        <w:rFonts w:ascii="Arial"/>
        <w:sz w:val="24"/>
      </w:rPr>
    </w:rPrDefault>
  </w:docDefaults>
  <w:style w:type="paragraph" w:styleId="[Normal]" w:default="1">
    <w:name w:val="[Normal]"/>
    <w:next w:val="[Normal]"/>
    <w:qFormat/>
    <w:pPr>
      <w:widowControl w:val="off"/>
      <w:shd w:val="clear" w:color="auto" w:fill="auto"/>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0" w:after="0" w:line="240" w:lineRule="auto"/>
      <w:ind w:left="0" w:right="0" w:firstLine="0"/>
      <w:jc w:val="left"/>
    </w:pPr>
    <w:rPr>
      <w:rFonts w:ascii="Arial" w:hAnsi="Arial" w:eastAsia="Arial" w:cs="Arial"/>
      <w:b w:val="off"/>
      <w:bCs w:val="off"/>
      <w:i w:val="off"/>
      <w:iCs w:val="off"/>
      <w:strike w:val="off"/>
      <w:color w:val="auto"/>
      <w:position w:val="0"/>
      <w:sz w:val="24"/>
      <w:szCs w:val="24"/>
      <w:shd w:val="clear" w:color="auto" w:fill="auto"/>
      <w:rtl w:val="off"/>
      <w:lang w:val="x-none" w:eastAsia="x-none" w:bidi="x-none"/>
    </w:rPr>
  </w:style>
  <w:style w:type="paragraph" w:styleId="BODY">
    <w:name w:val="BODY"/>
    <w:basedOn w:val="[Normal]"/>
    <w:next w:val="BODY"/>
    <w:qFormat/>
    <w:pPr>
      <w:tabs>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pPr>
    <w:rPr/>
  </w:style>
  <w:style w:type="character" w:styleId="B">
    <w:name w:val="B"/>
    <w:qFormat/>
    <w:rPr>
      <w:b/>
      <w:bCs/>
      <w:rtl w:val="off"/>
      <w:lang w:val="x-none" w:eastAsia="x-none" w:bidi="x-none"/>
    </w:rPr>
  </w:style>
</w:styles>
</file>

<file path=word/_rels/document.xml.rels><?xml version="1.0" encoding="UTF-8" standalone="yes"?><Relationships xmlns="http://schemas.openxmlformats.org/package/2006/relationships">
	<Relationship Id="rId00002" Type="http://schemas.openxmlformats.org/officeDocument/2006/relationships/styles" Target="styles.xml"/>
	<Relationship Id="rId00003" Type="http://schemas.openxmlformats.org/officeDocument/2006/relationships/fontTable" Target="fontTable.xml"/>
	<Relationship Id="rId00004" Type="http://schemas.openxmlformats.org/officeDocument/2006/relationships/settings" Target="settings.xml"/>
</Relationships>
</file>