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w:t>
      </w:r>
      <w:r>
        <w:rPr>
          <w:b/>
          <w:lang w:val="es-AR" w:eastAsia="es-AR" w:bidi="es-AR"/>
        </w:rPr>
        <w:t xml:space="preserve">	</w:t>
      </w:r>
    </w:p>
    <w:p>
      <w:pPr>
        <w:pStyle w:val="[Normal]"/>
        <w:spacing w:line="360" w:lineRule="auto"/>
        <w:ind w:firstLine="1134"/>
        <w:jc w:val="both"/>
        <w:rPr>
          <w:lang w:val="es-AR" w:eastAsia="es-AR" w:bidi="es-AR"/>
        </w:rPr>
      </w:pPr>
      <w:r>
        <w:rPr>
          <w:lang w:val="es-AR" w:eastAsia="es-AR" w:bidi="es-AR"/>
        </w:rPr>
        <w:t xml:space="preserve">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5446-24</w:t>
      </w:r>
      <w:r>
        <w:rPr>
          <w:lang w:val="es-AR" w:eastAsia="es-AR" w:bidi="es-AR"/>
        </w:rPr>
        <w:t xml:space="preserve"> caratulada </w:t>
      </w:r>
      <w:r>
        <w:rPr>
          <w:b/>
          <w:lang w:val="es-AR" w:eastAsia="es-AR" w:bidi="es-AR"/>
        </w:rPr>
        <w:t xml:space="preserve">"</w:t>
      </w:r>
      <w:r>
        <w:rPr>
          <w:b/>
          <w:color w:val="000000"/>
          <w:lang w:val="es-AR" w:eastAsia="es-AR" w:bidi="es-AR"/>
        </w:rPr>
        <w:t xml:space="preserve">SOCIEDAD ITALIANA DE SOCORROS MUTUOS ITALIA NUEVA  C/ CIACIA JUAN CARLOS S/ COBRO SUMARIO SUMAS DINERO (EXC.ALQUILERES, ETC.)</w:t>
      </w:r>
      <w:r>
        <w:rPr>
          <w:b/>
          <w:lang w:val="es-AR" w:eastAsia="es-AR" w:bidi="es-AR"/>
        </w:rPr>
        <w:t xml:space="preserve">"</w:t>
      </w:r>
      <w:r>
        <w:rPr>
          <w:lang w:val="es-AR" w:eastAsia="es-AR" w:bidi="es-AR"/>
        </w:rPr>
        <w:t xml:space="preserve">, Expte. N° 89065</w:t>
      </w:r>
      <w:r>
        <w:rPr>
          <w:color w:val="000000"/>
          <w:lang w:val="es-AR" w:eastAsia="es-AR" w:bidi="es-AR"/>
        </w:rPr>
        <w:t xml:space="preserve"> </w:t>
      </w:r>
      <w:r>
        <w:rPr>
          <w:lang w:val="es-AR" w:eastAsia="es-AR" w:bidi="es-AR"/>
        </w:rPr>
        <w:t xml:space="preserve">del Juzgado Civil y Comercial N° 2,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La señora Jueza de la anterior sede hizo lugar a la demanda entablada por la parte actora condenando a la demandada, a abonar la suma de $ 500.000 con más sus intereses y más las costas. A cuyos efectos difirió la regulación de los honorarios de los letrados intervinientes. </w:t>
      </w:r>
    </w:p>
    <w:p>
      <w:pPr>
        <w:pStyle w:val="[Normal]"/>
        <w:spacing w:line="360" w:lineRule="auto"/>
        <w:ind w:firstLine="1134"/>
        <w:jc w:val="both"/>
        <w:rPr>
          <w:lang w:val="es-AR" w:eastAsia="es-AR" w:bidi="es-AR"/>
        </w:rPr>
      </w:pPr>
      <w:r>
        <w:rPr>
          <w:lang w:val="es-AR" w:eastAsia="es-AR" w:bidi="es-AR"/>
        </w:rPr>
        <w:t xml:space="preserve">Apeló dicho decisorio la parte demandada el 6-4-2026 y se concedió libremente el recurso el 8-4-2026.</w:t>
      </w:r>
    </w:p>
    <w:p>
      <w:pPr>
        <w:pStyle w:val="[Normal]"/>
        <w:spacing w:line="360" w:lineRule="auto"/>
        <w:ind w:firstLine="1134"/>
        <w:jc w:val="both"/>
        <w:rPr>
          <w:lang w:val="es-AR" w:eastAsia="es-AR" w:bidi="es-AR"/>
        </w:rPr>
      </w:pPr>
      <w:r>
        <w:rPr>
          <w:lang w:val="es-AR" w:eastAsia="es-AR" w:bidi="es-AR"/>
        </w:rPr>
        <w:t xml:space="preserve">Ingresados los autos a esta Alzada el 24-4-2026 se ordenó expresar agravios a la recurrente el 12-5-2026, haciéndolo esta última mediante presentación del 19-5-2026 y conferido el traslado, la contraparte contestó el 1-6-2026, dictándose el llamamiento de autos para sentencia el 4-6-2026, providencia que firme a la fecha deja la causa en condiciones de ser fallada.</w:t>
      </w:r>
    </w:p>
    <w:p>
      <w:pPr>
        <w:pStyle w:val="[Normal]"/>
        <w:spacing w:line="360" w:lineRule="auto"/>
        <w:ind w:firstLine="1134"/>
        <w:jc w:val="both"/>
        <w:rPr>
          <w:lang w:val="es-AR" w:eastAsia="es-AR" w:bidi="es-AR"/>
        </w:rPr>
      </w:pPr>
      <w:r>
        <w:rPr>
          <w:lang w:val="es-AR" w:eastAsia="es-AR" w:bidi="es-AR"/>
        </w:rPr>
        <w:t xml:space="preserve">El apelante se agravia de la sentencia dictada por considerarla arbitraria, insuficientemente fundada y contraria a las constancias de la causa y al derecho aplicable.</w:t>
      </w:r>
    </w:p>
    <w:p>
      <w:pPr>
        <w:pStyle w:val="[Normal]"/>
        <w:spacing w:line="360" w:lineRule="auto"/>
        <w:ind w:firstLine="1134"/>
        <w:jc w:val="both"/>
        <w:rPr>
          <w:lang w:val="es-AR" w:eastAsia="es-AR" w:bidi="es-AR"/>
        </w:rPr>
      </w:pPr>
      <w:r>
        <w:rPr>
          <w:lang w:val="es-AR" w:eastAsia="es-AR" w:bidi="es-AR"/>
        </w:rPr>
        <w:t xml:space="preserve">Sostiene en primer lugar, que no existió entre las partes ningún vínculo jurídico, contractual, comercial ni personal, por lo que no se configura ninguna causa que genere obligación de pago a su cargo. Afirma que la actora basa su pretensión únicamente en la existencia de un cheque rechazado, emitido por el demandado, pero recibido por la accionante de un tercero ajeno al pleito, lo que -según su postura- impide atribuirle responsabilidad directa.</w:t>
      </w:r>
    </w:p>
    <w:p>
      <w:pPr>
        <w:pStyle w:val="[Normal]"/>
        <w:spacing w:line="360" w:lineRule="auto"/>
        <w:ind w:firstLine="1134"/>
        <w:jc w:val="both"/>
        <w:rPr>
          <w:lang w:val="es-AR" w:eastAsia="es-AR" w:bidi="es-AR"/>
        </w:rPr>
      </w:pPr>
      <w:r>
        <w:rPr>
          <w:lang w:val="es-AR" w:eastAsia="es-AR" w:bidi="es-AR"/>
        </w:rPr>
        <w:t xml:space="preserve">Cuestiona que la sentencia haya considerado suficiente el cheque como único sustento de la condena, señalando que al tratarse de un proceso de conocimiento, el instrumento cambiario no conserva autonomía ni abstracción plena, sino que requiere la acreditación del negocio causal subyacente, lo cual -afirma- no fue probado por la actora.</w:t>
      </w:r>
    </w:p>
    <w:p>
      <w:pPr>
        <w:pStyle w:val="[Normal]"/>
        <w:spacing w:line="360" w:lineRule="auto"/>
        <w:ind w:firstLine="1134"/>
        <w:jc w:val="both"/>
        <w:rPr>
          <w:lang w:val="es-AR" w:eastAsia="es-AR" w:bidi="es-AR"/>
        </w:rPr>
      </w:pPr>
      <w:r>
        <w:rPr>
          <w:lang w:val="es-AR" w:eastAsia="es-AR" w:bidi="es-AR"/>
        </w:rPr>
        <w:t xml:space="preserve">Denuncia asimismo que la resolución apelada incurre en arbitrariedad y falta de fundamentación, por cuanto no explica adecuadamente la causa jurídica de la obligación atribuida al demandado, ni analiza de modo suficiente la inexistencia de relación jurídica entre las partes.</w:t>
      </w:r>
    </w:p>
    <w:p>
      <w:pPr>
        <w:pStyle w:val="[Normal]"/>
        <w:spacing w:line="360" w:lineRule="auto"/>
        <w:ind w:firstLine="1134"/>
        <w:jc w:val="both"/>
        <w:rPr>
          <w:lang w:val="es-AR" w:eastAsia="es-AR" w:bidi="es-AR"/>
        </w:rPr>
      </w:pPr>
      <w:r>
        <w:rPr>
          <w:lang w:val="es-AR" w:eastAsia="es-AR" w:bidi="es-AR"/>
        </w:rPr>
        <w:t xml:space="preserve">Critica la valoración de la prueba pericial contable y caligráfica, señalando que aun cuando acreditan la existencia de una “ayuda económica” otorgada a un tercero y la autoría del cheque, ello no demuestra la existencia de una obligación directa entre actor y demandado.</w:t>
      </w:r>
    </w:p>
    <w:p>
      <w:pPr>
        <w:pStyle w:val="[Normal]"/>
        <w:spacing w:line="360" w:lineRule="auto"/>
        <w:ind w:firstLine="1134"/>
        <w:jc w:val="both"/>
        <w:rPr>
          <w:lang w:val="es-AR" w:eastAsia="es-AR" w:bidi="es-AR"/>
        </w:rPr>
      </w:pPr>
      <w:r>
        <w:rPr>
          <w:lang w:val="es-AR" w:eastAsia="es-AR" w:bidi="es-AR"/>
        </w:rPr>
        <w:t xml:space="preserve">Alega una incorrecta aplicación de las reglas de la carga de la prueba (art. 375 CPCC), sosteniendo que correspondía a la actora demostrar el negocio jurídico que dio origen al crédito reclamado, lo que no habría ocurrido.</w:t>
      </w:r>
    </w:p>
    <w:p>
      <w:pPr>
        <w:pStyle w:val="[Normal]"/>
        <w:spacing w:line="360" w:lineRule="auto"/>
        <w:ind w:firstLine="1134"/>
        <w:jc w:val="both"/>
        <w:rPr>
          <w:lang w:val="es-AR" w:eastAsia="es-AR" w:bidi="es-AR"/>
        </w:rPr>
      </w:pPr>
      <w:r>
        <w:rPr>
          <w:lang w:val="es-AR" w:eastAsia="es-AR" w:bidi="es-AR"/>
        </w:rPr>
        <w:t xml:space="preserve">Finalmente plantea que la sentencia omitió considerar la posible inexistencia de causa de la obligación y la eventual configuración de un supuesto de enriquecimiento sin causa, al no haberse probado que el demandado haya recibido beneficio alguno ni que exista deuda exigible a su respecto.</w:t>
      </w:r>
    </w:p>
    <w:p>
      <w:pPr>
        <w:pStyle w:val="[Normal]"/>
        <w:spacing w:line="360" w:lineRule="auto"/>
        <w:ind w:firstLine="1134"/>
        <w:jc w:val="both"/>
        <w:rPr>
          <w:lang w:val="es-AR" w:eastAsia="es-AR" w:bidi="es-AR"/>
        </w:rPr>
      </w:pPr>
      <w:r>
        <w:rPr>
          <w:lang w:val="es-AR" w:eastAsia="es-AR" w:bidi="es-AR"/>
        </w:rPr>
        <w:t xml:space="preserve">Por todo ello solicita la revocación de la sentencia apelada, el rechazo de la demanda en todas sus partes y la imposición de costas a la parte actora.</w:t>
      </w:r>
    </w:p>
    <w:p>
      <w:pPr>
        <w:pStyle w:val="[Normal]"/>
        <w:spacing w:line="360" w:lineRule="auto"/>
        <w:ind w:firstLine="1134"/>
        <w:jc w:val="both"/>
        <w:rPr>
          <w:lang w:val="es-AR" w:eastAsia="es-AR" w:bidi="es-AR"/>
        </w:rPr>
      </w:pPr>
      <w:r>
        <w:rPr>
          <w:lang w:val="es-AR" w:eastAsia="es-AR" w:bidi="es-AR"/>
        </w:rPr>
        <w:t xml:space="preserve">En su conteste el apoderado de la parte actora rebate los puntos de agravios señalando que no constituyen una crítica concreta y razonada del decisorio apelado, sino una mera reiteración de argumentos ya tratados en la instancia de grado, razón por la cual el recurso debe ser íntegramente rechazado.</w:t>
      </w:r>
    </w:p>
    <w:p>
      <w:pPr>
        <w:pStyle w:val="[Normal]"/>
        <w:spacing w:line="360" w:lineRule="auto"/>
        <w:ind w:firstLine="1134"/>
        <w:jc w:val="both"/>
        <w:rPr>
          <w:lang w:val="es-AR" w:eastAsia="es-AR" w:bidi="es-AR"/>
        </w:rPr>
      </w:pPr>
      <w:r>
        <w:rPr>
          <w:lang w:val="es-AR" w:eastAsia="es-AR" w:bidi="es-AR"/>
        </w:rPr>
        <w:t xml:space="preserve">Entrando a resolver y analizando la cuestión sometida a revisión, debo anticipar que existe un denominador común en los agravios formulados por la parte quejosa, cuál es la negativa de que entre él y la accionada existió una vinculación negocial que haya hecho nacer una obligación de pago. En rigor, el recurrente replantea cuestiones ya propuestas en su escrito inicial y que refieren genéricamente que él no le debe nada a la actora, pues entre las partes no existió relación comercial, ni jurídica, ni personal sin explicar la específica conexión lógica entre los resultados probatorios arrojados y los argumentos impugnatorios que vienen a enarbolar los supuestos errores que acusaría contra la sentencia de grado.</w:t>
      </w:r>
    </w:p>
    <w:p>
      <w:pPr>
        <w:pStyle w:val="[Normal]"/>
        <w:spacing w:line="360" w:lineRule="auto"/>
        <w:ind w:firstLine="1134"/>
        <w:jc w:val="both"/>
        <w:rPr>
          <w:lang w:val="es-AR" w:eastAsia="es-AR" w:bidi="es-AR"/>
        </w:rPr>
      </w:pPr>
      <w:r>
        <w:rPr>
          <w:lang w:val="es-AR" w:eastAsia="es-AR" w:bidi="es-AR"/>
        </w:rPr>
        <w:t xml:space="preserve">Con todo ello y sin perjuicio del señalamiento formulado, abriré la instancia recursiva atento a la amplia prevalencia del derecho de defensa (art. 18 del CN), más no sin antes advertir que la debilidad argumental de la crítica ensayada habrá de repercutir indefectiblemente en la suerte de la queja formulada.</w:t>
      </w:r>
    </w:p>
    <w:p>
      <w:pPr>
        <w:pStyle w:val="[Normal]"/>
        <w:spacing w:line="360" w:lineRule="auto"/>
        <w:ind w:firstLine="1134"/>
        <w:jc w:val="both"/>
        <w:rPr>
          <w:lang w:val="es-AR" w:eastAsia="es-AR" w:bidi="es-AR"/>
        </w:rPr>
      </w:pPr>
      <w:r>
        <w:rPr>
          <w:lang w:val="es-AR" w:eastAsia="es-AR" w:bidi="es-AR"/>
        </w:rPr>
        <w:t xml:space="preserve">En tal sentido, se ha dicho que: "La postulación recursiva debe contener crítica, razonada y concreta a los fundamentos en que se basa el fallo y no cumple tal exigencia legal, el escrito que solo vuelca opiniones o desarrollos propios del apelante en el análisis de pruebas de la causa, o reiterando argumentos que fueran atendidos en el fallo cuya revocación pretende no puede ser genérica o indeterminada respecto de las causas que se critican o de los motivos que se pretenden son errados o equívocos; hay que fundar con precisión cada uno de los agravios. El escrito debe ser autosuficiente, que significa encontrar un error de la simple lectura del mismo. Por eso no es bastante el recurso que insiste con remisiones o presentaciones anteriores, o mencionan fojas del expediente que no se explican, ni fundamentan automáticamente lo que pretende decir en sus derivaciones a otras partes del expediente. No obstante los requisitos que debe satisfacer la carga técnica de expresar agravios (arts 260, 261 CPCC), en la materia prevalece un criterio amplio o flexible, en salvaguarda de principios de mayor jerarquía (art 18 Constitución Nacional arts 11,15 Constitución de la Provincia de Buenos Aires). Y es así que sin perjuicio de la debilidad de los fundamentos articulados en la expresión de agravios, es necesario su tratamiento si se advierte en ella el mínimo agravio" (CC0001 SM 54648 RSD-232-4 S 07/07/2004 Juez GALLEGO (SD), Carátula: Pittaluga, Marcelo E. c/Capacci, Mónica Laura y otros s/Cobro ejecutivo).</w:t>
      </w:r>
    </w:p>
    <w:p>
      <w:pPr>
        <w:pStyle w:val="[Normal]"/>
        <w:spacing w:line="360" w:lineRule="auto"/>
        <w:ind w:firstLine="1134"/>
        <w:jc w:val="both"/>
        <w:rPr>
          <w:lang w:val="es-AR" w:eastAsia="es-AR" w:bidi="es-AR"/>
        </w:rPr>
      </w:pPr>
      <w:r>
        <w:rPr>
          <w:lang w:val="es-AR" w:eastAsia="es-AR" w:bidi="es-AR"/>
        </w:rPr>
        <w:t xml:space="preserve">Despejado dicho cuestionamiento, ingresaré a analizar los agravios, partiendo de la base que el objeto de reclamo es el pago de la suma de dinero, que se encuentra instrumentado en un cheque de pago diferido que ascendía a $500.000, el cual fue rechazado el pago por falta de un requisito formal al haberse omitido consignar la fecha completa del libramiento.</w:t>
      </w:r>
    </w:p>
    <w:p>
      <w:pPr>
        <w:pStyle w:val="[Normal]"/>
        <w:spacing w:line="360" w:lineRule="auto"/>
        <w:ind w:firstLine="1134"/>
        <w:jc w:val="both"/>
        <w:rPr>
          <w:lang w:val="es-AR" w:eastAsia="es-AR" w:bidi="es-AR"/>
        </w:rPr>
      </w:pPr>
      <w:r>
        <w:rPr>
          <w:lang w:val="es-AR" w:eastAsia="es-AR" w:bidi="es-AR"/>
        </w:rPr>
        <w:t xml:space="preserve">Sabido es que el cheque es una orden de pago pura y simple librada contra un banco, en el cual el librador tiene fondos depositados a su orden en cuenta corriente bancaria o autorización expresa para girar en descubierto. También se lo ha definido como el título valor formal, abstracto y completo, que contiene una orden incondicional dada a un banco, de pagar al portador una suma determinada de dinero y que obliga a su creador (Cfr.Luis A. Rodriguez Saiach, Procesos de ejecución en la provincia de Bs As, Abeledo Perrot Año 2008, pag. 168).</w:t>
      </w:r>
    </w:p>
    <w:p>
      <w:pPr>
        <w:pStyle w:val="[Normal]"/>
        <w:spacing w:line="360" w:lineRule="auto"/>
        <w:ind w:firstLine="1134"/>
        <w:jc w:val="both"/>
        <w:rPr>
          <w:lang w:val="es-AR" w:eastAsia="es-AR" w:bidi="es-AR"/>
        </w:rPr>
      </w:pPr>
      <w:r>
        <w:rPr>
          <w:lang w:val="es-AR" w:eastAsia="es-AR" w:bidi="es-AR"/>
        </w:rPr>
        <w:t xml:space="preserve">En nuestro caso el cheque presentado a cobro, se encontraba entregado por el portador (Sr. Abraham Néstor) en garantía a una ayuda económica identificada con el N° 182398, tomada en fecha 12/4/2022. Que todo ello surge de la pericial contable producida en autos de fecha 22/9/2025, en la cual se identifican los cheques entregados para el descuento, y que tal informe fue ampliado con las respuestas dadas en la P.E. de fecha 25/11/2025, ante la impugnación realizada por el demandado. </w:t>
      </w:r>
    </w:p>
    <w:p>
      <w:pPr>
        <w:pStyle w:val="[Normal]"/>
        <w:spacing w:line="360" w:lineRule="auto"/>
        <w:ind w:firstLine="1134"/>
        <w:jc w:val="both"/>
        <w:rPr>
          <w:lang w:val="es-AR" w:eastAsia="es-AR" w:bidi="es-AR"/>
        </w:rPr>
      </w:pPr>
      <w:r>
        <w:rPr>
          <w:lang w:val="es-AR" w:eastAsia="es-AR" w:bidi="es-AR"/>
        </w:rPr>
        <w:t xml:space="preserve">Ello también se desprende de la documental agregada con el escrito de demanda y obrante en autos (PDF agregado en fecha 13/3/2024).</w:t>
      </w:r>
    </w:p>
    <w:p>
      <w:pPr>
        <w:pStyle w:val="[Normal]"/>
        <w:spacing w:line="360" w:lineRule="auto"/>
        <w:ind w:firstLine="1134"/>
        <w:jc w:val="both"/>
        <w:rPr>
          <w:lang w:val="es-AR" w:eastAsia="es-AR" w:bidi="es-AR"/>
        </w:rPr>
      </w:pPr>
      <w:r>
        <w:rPr>
          <w:lang w:val="es-AR" w:eastAsia="es-AR" w:bidi="es-AR"/>
        </w:rPr>
        <w:t xml:space="preserve">En garantía de esa ayuda económica se dieron 3 cheques, de los cuales dos pudieron ser cobrados -identificados con los Número 00682453 Banco Nación sucursal Colón, vencimiento 11/05/2022, importe: $ 455.000.- y el Número 00682454 Banco Nación sucursal Colón, vencimiento 24/05/2022, importe: $ 500.000.-   Neto a cobrar: $ 468.500.-. Ambos no tenían defectos, fueron pagados por el banco en tiempo y en forma y ambos pertenecían a la misma cuenta perteneciente a su librador Sr. Ciacia y fue solo uno, que por deficiencia formal fuera rechazado en su presentación al cobro.</w:t>
      </w:r>
    </w:p>
    <w:p>
      <w:pPr>
        <w:pStyle w:val="[Normal]"/>
        <w:spacing w:line="360" w:lineRule="auto"/>
        <w:ind w:firstLine="1134"/>
        <w:jc w:val="both"/>
        <w:rPr>
          <w:lang w:val="es-AR" w:eastAsia="es-AR" w:bidi="es-AR"/>
        </w:rPr>
      </w:pPr>
      <w:r>
        <w:rPr>
          <w:lang w:val="es-AR" w:eastAsia="es-AR" w:bidi="es-AR"/>
        </w:rPr>
        <w:t xml:space="preserve">Sabido es que la deficiencia formal apuntada sobre este último impide atribuirle en las condiciones en que fue presentado, la eficacia propia de un título cambiario apto para sustentar una ejecución, por tal motivo es que el actor inició el presente proceso sumario necesario a fin de probar la causa de la obligación.</w:t>
      </w:r>
    </w:p>
    <w:p>
      <w:pPr>
        <w:pStyle w:val="[Normal]"/>
        <w:spacing w:line="360" w:lineRule="auto"/>
        <w:ind w:firstLine="1134"/>
        <w:jc w:val="both"/>
        <w:rPr>
          <w:lang w:val="es-AR" w:eastAsia="es-AR" w:bidi="es-AR"/>
        </w:rPr>
      </w:pPr>
      <w:r>
        <w:rPr>
          <w:lang w:val="es-AR" w:eastAsia="es-AR" w:bidi="es-AR"/>
        </w:rPr>
        <w:t xml:space="preserve">Es que, la circunstancia de que el cheque carezca de aptitud ejecutiva no convierte al hecho de su libramiento en jurídicamente irrelevante, ni torna inexistente la operatoria económica dentro de la cual fue utilizado. Sin dudas el Sr. Abraham entregó en garantía esos tres cheques emitidos por el Sr. Ciacia, incluso dos de esos instrumentos pudieron ser cobrados, y el que poseía un defecto, fue rechazado en su presentación, y tal circunstancia se encuentra acreditada en la prueba documental producida en autos, que fuera luego fortalecida por la pericia contable enunciada mas arriba.</w:t>
      </w:r>
    </w:p>
    <w:p>
      <w:pPr>
        <w:pStyle w:val="[Normal]"/>
        <w:spacing w:line="360" w:lineRule="auto"/>
        <w:ind w:firstLine="1134"/>
        <w:jc w:val="both"/>
        <w:rPr>
          <w:lang w:val="es-AR" w:eastAsia="es-AR" w:bidi="es-AR"/>
        </w:rPr>
      </w:pPr>
      <w:r>
        <w:rPr>
          <w:lang w:val="es-AR" w:eastAsia="es-AR" w:bidi="es-AR"/>
        </w:rPr>
        <w:t xml:space="preserve">No se encuentra en tela de juicio la ayuda económica que solicitara el Sr. Abraham a la actora, ni tampoco se podría poner en duda de que los cheques fueron entregados en depósito por aquella operación. El rechazo de pago de uno de los instrumentos fue por una cuestión ajena a la operatoria por la cual fuera entregado, ya que se trató de un defecto en la confección del mismo, al momento de su libramiento.</w:t>
      </w:r>
    </w:p>
    <w:p>
      <w:pPr>
        <w:pStyle w:val="[Normal]"/>
        <w:spacing w:line="360" w:lineRule="auto"/>
        <w:ind w:firstLine="1134"/>
        <w:jc w:val="both"/>
        <w:rPr>
          <w:rStyle w:val="STRONG"/>
          <w:b w:val="off"/>
          <w:lang w:val="es-AR" w:eastAsia="es-AR" w:bidi="es-AR"/>
        </w:rPr>
      </w:pPr>
      <w:r>
        <w:rPr>
          <w:lang w:val="es-AR" w:eastAsia="es-AR" w:bidi="es-AR"/>
        </w:rPr>
        <w:t xml:space="preserve">Quedó acreditado con la pericia caligráfica de fecha 17/8/2025 la perito Patricia Amelia Campos que: "</w:t>
      </w:r>
      <w:r>
        <w:rPr>
          <w:rStyle w:val="STRONG"/>
          <w:b w:val="off"/>
          <w:lang w:val="es-AR" w:eastAsia="es-AR" w:bidi="es-AR"/>
        </w:rPr>
        <w:t xml:space="preserve">Las firmas y grafías alfanuméricas de los “tres cheques en cuestión” corresponden a puño y letra del Sr. Ciacia Juan Carlos, DNI N° 10916151." y no existe ninguna circunstancia que acredite la ineficacia del instrumento, que podría ser una denuncia de extravío o robo por parte de su librador.</w:t>
      </w:r>
    </w:p>
    <w:p>
      <w:pPr>
        <w:pStyle w:val="[Normal]"/>
        <w:spacing w:line="360" w:lineRule="auto"/>
        <w:ind w:firstLine="1134"/>
        <w:jc w:val="both"/>
        <w:rPr>
          <w:lang w:val="es-AR" w:eastAsia="es-AR" w:bidi="es-AR"/>
        </w:rPr>
      </w:pPr>
      <w:r>
        <w:rPr>
          <w:lang w:val="es-AR" w:eastAsia="es-AR" w:bidi="es-AR"/>
        </w:rPr>
        <w:t xml:space="preserve">He de agregar que la valoración de los elementos probatorios obrantes en la causa efectuada por el juzgador primero de conformidad a las reglas de la sana crítica (art. 384 del CPCC)  que condujo a la solución puesta en crisis son correctos, y dichos extremos no se ven conmovidos por la críticas efectuadas por la apelante, compartiendo esta Alzada el criterio expuesto sobre la vinculación existente entre la ayuda económica N° 182398 tomada en fecha 12/4/2022 y el cheque en depósito ofrecido en garantías, que fuera librado contra la cuenta del aquí demandado.</w:t>
      </w:r>
    </w:p>
    <w:p>
      <w:pPr>
        <w:pStyle w:val="[Normal]"/>
        <w:spacing w:line="360" w:lineRule="auto"/>
        <w:ind w:firstLine="1134"/>
        <w:jc w:val="both"/>
        <w:rPr>
          <w:lang w:val="es-AR" w:eastAsia="es-AR" w:bidi="es-AR"/>
        </w:rPr>
      </w:pPr>
      <w:r>
        <w:rPr>
          <w:lang w:val="es-AR" w:eastAsia="es-AR" w:bidi="es-AR"/>
        </w:rPr>
        <w:t xml:space="preserve">Es que si bien el demandado se disconforma de la prueba producida en autos (pericia contable y caligráfica) su crítica sólo se centra en desconocer la vinculación negocial con el actor, no habiendo entonces atacado de modo frontal la premisa extraída por el juez de dicha prueba, la que permanece inimpugnada por ausencia de agravio idóneo (arts. 260/1 del CPCC.). </w:t>
      </w:r>
    </w:p>
    <w:p>
      <w:pPr>
        <w:pStyle w:val="[Normal]"/>
        <w:spacing w:line="360" w:lineRule="auto"/>
        <w:ind w:firstLine="1134"/>
        <w:jc w:val="both"/>
        <w:rPr>
          <w:lang w:val="es-AR" w:eastAsia="es-AR" w:bidi="es-AR"/>
        </w:rPr>
      </w:pPr>
      <w:r>
        <w:rPr>
          <w:lang w:val="es-AR" w:eastAsia="es-AR" w:bidi="es-AR"/>
        </w:rPr>
        <w:t xml:space="preserve">El cheque objeto de autos fue librado contra la cuenta bancaria N° 200010895/57 del Banco de la Nación Argentina Sucursal Colón, de titularidad del Sr. Juan Carlos Ciacia. (ver presentación de fecha 18/3/2024), y existen dos instrumentos mas que fueron abonados por el Banco Nación, y si el demandado pretende el rechazo apoyado en la tesitura de que no existe relación negocial con el actor que lo obligue, porque si pudo pagar el resto de los cheques presentado al cobro?.</w:t>
      </w:r>
    </w:p>
    <w:p>
      <w:pPr>
        <w:pStyle w:val="[Normal]"/>
        <w:spacing w:line="360" w:lineRule="auto"/>
        <w:ind w:firstLine="1134"/>
        <w:jc w:val="both"/>
        <w:rPr>
          <w:lang w:val="es-AR" w:eastAsia="es-AR" w:bidi="es-AR"/>
        </w:rPr>
      </w:pPr>
      <w:r>
        <w:rPr>
          <w:lang w:val="es-AR" w:eastAsia="es-AR" w:bidi="es-AR"/>
        </w:rPr>
        <w:t xml:space="preserve">En efecto, la propia conducta desplegada por el demandado Sr. Ciacia aparece objetivamente vinculada con la operación: libró los tres cheques que fueron incorporados a ella, dos de los cuales fueron posteriormente cobrados por la entidad actora. Por otro lado, el demandado no ha proporcionado una explicación alternativa suficientemente acreditada acerca de la causa concreta por la cual emitió esos tres instrumentos, todos correspondientes a una misma operación y destinados a satisfacer los importes involucrados en ella.</w:t>
      </w:r>
    </w:p>
    <w:p>
      <w:pPr>
        <w:pStyle w:val="[Normal]"/>
        <w:spacing w:line="360" w:lineRule="auto"/>
        <w:ind w:firstLine="1134"/>
        <w:jc w:val="both"/>
        <w:rPr>
          <w:lang w:val="es-AR" w:eastAsia="es-AR" w:bidi="es-AR"/>
        </w:rPr>
      </w:pPr>
      <w:r>
        <w:rPr>
          <w:lang w:val="es-AR" w:eastAsia="es-AR" w:bidi="es-AR"/>
        </w:rPr>
        <w:t xml:space="preserve">En tales condiciones, la negativa genérica de no haber mantenido relación jurídica con la accionante no alcanza para neutralizar las consecuencias probatorias que se desprenden del conjunto de las constancias de la causa.</w:t>
      </w:r>
    </w:p>
    <w:p>
      <w:pPr>
        <w:pStyle w:val="[Normal]"/>
        <w:spacing w:line="360" w:lineRule="auto"/>
        <w:ind w:firstLine="1134"/>
        <w:jc w:val="both"/>
        <w:rPr>
          <w:lang w:val="es-AR" w:eastAsia="es-AR" w:bidi="es-AR"/>
        </w:rPr>
      </w:pPr>
      <w:r>
        <w:rPr>
          <w:lang w:val="es-AR" w:eastAsia="es-AR" w:bidi="es-AR"/>
        </w:rPr>
        <w:t xml:space="preserve">No advierto la omisión que reprocha en la valoración probatoria de la magistrada sino una meritación diferente  a la que pretende el quejoso, en tanto el operador ha acudido a las reglas previstas en los  art. 293, 299 y ccs de CCCN, 484, 486 y ccs del CPCC que lo llevaron a un resultado distinto. </w:t>
      </w:r>
    </w:p>
    <w:p>
      <w:pPr>
        <w:pStyle w:val="[Normal]"/>
        <w:spacing w:line="360" w:lineRule="auto"/>
        <w:ind w:firstLine="1134"/>
        <w:jc w:val="both"/>
        <w:rPr>
          <w:lang w:val="es-AR" w:eastAsia="es-AR" w:bidi="es-AR"/>
        </w:rPr>
      </w:pPr>
      <w:r>
        <w:rPr>
          <w:lang w:val="es-AR" w:eastAsia="es-AR" w:bidi="es-AR"/>
        </w:rPr>
        <w:t xml:space="preserve">Claramente las proposiciones del demandado no fueron verificadas a través de los medios probatorios pretendidos, y la convicción sobre los hechos ha sido recogida por la aquo de la prueba instrumental agregada, de la pericia caligráfica producida y de la pericia contable agregada, pudiendo seleccionar un medio sobre otro que lo lleven al convencimiento de la existencia de la obligación de pago de parte de la demandada. </w:t>
      </w:r>
    </w:p>
    <w:p>
      <w:pPr>
        <w:pStyle w:val="[Normal]"/>
        <w:spacing w:line="360" w:lineRule="auto"/>
        <w:ind w:firstLine="1134"/>
        <w:jc w:val="both"/>
        <w:rPr>
          <w:lang w:val="es-AR" w:eastAsia="es-AR" w:bidi="es-AR"/>
        </w:rPr>
      </w:pPr>
      <w:r>
        <w:rPr>
          <w:lang w:val="es-AR" w:eastAsia="es-AR" w:bidi="es-AR"/>
        </w:rPr>
        <w:t xml:space="preserve">Mas débil aún es el agravio sostenido respecto a la posibilidad de que el Sr. Abrahám o sus sucesores hayan cancelado el monto reclamado, produciéndose así un enriquecimiento sin causa por parte del accionante, pues tal sería una hipótesis planteada por el propio demandado, del cual carece de fundamento probatorio suficiente y la eventual posibilidad de que ello hubiera ocurrido no permite desvirtuar la obligación reclamada, máxime cuando el demandado no acredita hecho extintivo alguno relacionada a esa operación.</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Desestimar el recurso de apelación traído, confirmando la sentencia de grado en todas sus partes.-</w:t>
      </w:r>
    </w:p>
    <w:p>
      <w:pPr>
        <w:pStyle w:val="[Normal]"/>
        <w:spacing w:line="360" w:lineRule="auto"/>
        <w:ind w:firstLine="1134"/>
        <w:jc w:val="both"/>
        <w:rPr>
          <w:lang w:val="es-AR" w:eastAsia="es-AR" w:bidi="es-AR"/>
        </w:rPr>
      </w:pPr>
      <w:r>
        <w:rPr>
          <w:lang w:val="es-AR" w:eastAsia="es-AR" w:bidi="es-AR"/>
        </w:rPr>
        <w:t xml:space="preserve">Costas al apelante devinto (art. 68 del CPCC).-</w:t>
      </w:r>
    </w:p>
    <w:p>
      <w:pPr>
        <w:pStyle w:val="[Normal]"/>
        <w:spacing w:line="360" w:lineRule="auto"/>
        <w:ind w:firstLine="1134"/>
        <w:jc w:val="both"/>
        <w:rPr>
          <w:lang w:val="es-AR" w:eastAsia="es-AR" w:bidi="es-AR"/>
        </w:rPr>
      </w:pPr>
      <w:r>
        <w:rPr>
          <w:lang w:val="es-AR" w:eastAsia="es-AR" w:bidi="es-AR"/>
        </w:rPr>
        <w:t xml:space="preserve">Diferir la regulación de honorarios hasta tanto obre en autos liquidación definitiva (art. 51 ley 14.967).</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 -</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Desestimar el recurso de apelación traído, confirmando la sentencia de grado en todas sus partes.-</w:t>
      </w:r>
    </w:p>
    <w:p>
      <w:pPr>
        <w:pStyle w:val="[Normal]"/>
        <w:spacing w:line="360" w:lineRule="auto"/>
        <w:ind w:firstLine="1134"/>
        <w:jc w:val="both"/>
        <w:rPr>
          <w:lang w:val="es-AR" w:eastAsia="es-AR" w:bidi="es-AR"/>
        </w:rPr>
      </w:pPr>
      <w:r>
        <w:rPr>
          <w:lang w:val="es-AR" w:eastAsia="es-AR" w:bidi="es-AR"/>
        </w:rPr>
        <w:t xml:space="preserve">Costas al apelante devinto (art. 68 del CPCC).-</w:t>
      </w:r>
    </w:p>
    <w:p>
      <w:pPr>
        <w:pStyle w:val="[Normal]"/>
        <w:spacing w:line="360" w:lineRule="auto"/>
        <w:ind w:firstLine="1134"/>
        <w:jc w:val="both"/>
        <w:rPr>
          <w:lang w:val="es-AR" w:eastAsia="es-AR" w:bidi="es-AR"/>
        </w:rPr>
      </w:pPr>
      <w:r>
        <w:rPr>
          <w:lang w:val="es-AR" w:eastAsia="es-AR" w:bidi="es-AR"/>
        </w:rPr>
        <w:t xml:space="preserve">Diferir la regulación de honorarios hasta tanto obre en autos liquidación definitiva (art. 51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10:14:10 -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10:44:14 -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11:22:35 - ELUSTONDO Maria Magdalena - AUXILIAR LETRADO DE CÁMARA DE APELACIÓN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‰8À")è&amp;ƒ'=dŠ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249502090006990729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08/09/2026 11:22:49 hs. bajo el número RS-139-2026 por PE\melustondo.</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character" w:styleId="STRONG">
    <w:name w:val="STRONG"/>
    <w:qFormat/>
    <w:rPr>
      <w:b/>
      <w:bCs/>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