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6076-26</w:t>
      </w:r>
      <w:r>
        <w:rPr>
          <w:lang w:val="es-AR" w:eastAsia="es-AR" w:bidi="es-AR"/>
        </w:rPr>
        <w:t xml:space="preserve"> caratulada </w:t>
      </w:r>
      <w:r>
        <w:rPr>
          <w:b/>
          <w:lang w:val="es-AR" w:eastAsia="es-AR" w:bidi="es-AR"/>
        </w:rPr>
        <w:t xml:space="preserve">"</w:t>
      </w:r>
      <w:r>
        <w:rPr>
          <w:b/>
          <w:color w:val="000000"/>
          <w:lang w:val="es-AR" w:eastAsia="es-AR" w:bidi="es-AR"/>
        </w:rPr>
        <w:t xml:space="preserve">MARTIN ANDRES PABLO  C/ DIAZ WALTER GERMAN Y OTRO/A S/ DAÑOS Y PERJ. AUTOM. S/LESIONES (EXC. ESTADO)</w:t>
      </w:r>
      <w:r>
        <w:rPr>
          <w:b/>
          <w:lang w:val="es-AR" w:eastAsia="es-AR" w:bidi="es-AR"/>
        </w:rPr>
        <w:t xml:space="preserve">"</w:t>
      </w:r>
      <w:r>
        <w:rPr>
          <w:lang w:val="es-AR" w:eastAsia="es-AR" w:bidi="es-AR"/>
        </w:rPr>
        <w:t xml:space="preserve">, Expte. N° 89.740</w:t>
      </w:r>
      <w:r>
        <w:rPr>
          <w:color w:val="000000"/>
          <w:lang w:val="es-AR" w:eastAsia="es-AR" w:bidi="es-AR"/>
        </w:rPr>
        <w:t xml:space="preserve"> </w:t>
      </w:r>
      <w:r>
        <w:rPr>
          <w:lang w:val="es-AR" w:eastAsia="es-AR" w:bidi="es-AR"/>
        </w:rPr>
        <w:t xml:space="preserve">del Juzgado Civil y Comercial N° 2</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w:t>
      </w:r>
      <w:r>
        <w:rPr>
          <w:color w:val="0000FF"/>
          <w:lang w:val="es-AR" w:eastAsia="es-AR" w:bidi="es-AR"/>
        </w:rPr>
        <w:t xml:space="preserve">,</w:t>
      </w:r>
      <w:r>
        <w:rPr>
          <w:lang w:val="es-AR" w:eastAsia="es-AR" w:bidi="es-AR"/>
        </w:rPr>
        <w:t xml:space="preserv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w:t>
      </w:r>
      <w:r>
        <w:rPr>
          <w:color w:val="0000FF"/>
          <w:lang w:val="es-AR" w:eastAsia="es-AR" w:bidi="es-AR"/>
        </w:rPr>
        <w:t xml:space="preserve"> </w:t>
      </w:r>
      <w:r>
        <w:rPr>
          <w:lang w:val="es-AR" w:eastAsia="es-AR" w:bidi="es-AR"/>
        </w:rPr>
        <w:t xml:space="preserve">dijo:</w:t>
      </w:r>
    </w:p>
    <w:p>
      <w:pPr>
        <w:pStyle w:val="[Normal]"/>
        <w:spacing w:line="360" w:lineRule="auto"/>
        <w:ind w:firstLine="1134"/>
        <w:jc w:val="both"/>
        <w:rPr>
          <w:lang w:val="es-AR" w:eastAsia="es-AR" w:bidi="es-AR"/>
        </w:rPr>
      </w:pPr>
      <w:r>
        <w:rPr>
          <w:lang w:val="es-AR" w:eastAsia="es-AR" w:bidi="es-AR"/>
        </w:rPr>
        <w:t xml:space="preserve">La señora Jueza de primera instancia rechazó la demanda deducida por el actor. Aplicó las costas al mismo que resulta vencido.  Difirió la regulación de honorarios de los letrados intervinientes y de los peritos.</w:t>
      </w:r>
    </w:p>
    <w:p>
      <w:pPr>
        <w:pStyle w:val="[Normal]"/>
        <w:spacing w:line="360" w:lineRule="auto"/>
        <w:ind w:firstLine="1134"/>
        <w:jc w:val="both"/>
        <w:rPr>
          <w:lang w:val="es-AR" w:eastAsia="es-AR" w:bidi="es-AR"/>
        </w:rPr>
      </w:pPr>
      <w:r>
        <w:rPr>
          <w:lang w:val="es-AR" w:eastAsia="es-AR" w:bidi="es-AR"/>
        </w:rPr>
        <w:t xml:space="preserve">Disconforme con lo decidido apeló el 30-3-2026 la parte actora, siendo concedido el mismo día libremente.</w:t>
      </w:r>
    </w:p>
    <w:p>
      <w:pPr>
        <w:pStyle w:val="[Normal]"/>
        <w:spacing w:line="360" w:lineRule="auto"/>
        <w:ind w:firstLine="1134"/>
        <w:jc w:val="both"/>
        <w:rPr>
          <w:lang w:val="es-AR" w:eastAsia="es-AR" w:bidi="es-AR"/>
        </w:rPr>
      </w:pPr>
      <w:r>
        <w:rPr>
          <w:lang w:val="es-AR" w:eastAsia="es-AR" w:bidi="es-AR"/>
        </w:rPr>
        <w:t xml:space="preserve">Ingresados los autos a este organismo el 6-5-2026, ordenándose exprese agravios la recurrente, haciéndolo el 11-5-2026, conferido el traslado es contestado por la contraparte el 15-5-2026, dictándose el llamamiento de autos para sentencia el 28-5-2026, providencia que estando firme, deja la causa en condiciones de ser fallada.</w:t>
      </w:r>
    </w:p>
    <w:p>
      <w:pPr>
        <w:pStyle w:val="[Normal]"/>
        <w:spacing w:line="360" w:lineRule="auto"/>
        <w:ind w:firstLine="1134"/>
        <w:jc w:val="both"/>
        <w:rPr>
          <w:lang w:val="es-AR" w:eastAsia="es-AR" w:bidi="es-AR"/>
        </w:rPr>
      </w:pPr>
      <w:r>
        <w:rPr>
          <w:lang w:val="es-AR" w:eastAsia="es-AR" w:bidi="es-AR"/>
        </w:rPr>
        <w:t xml:space="preserve">La parte actora solicita la revocación de la sentencia que rechazó la demanda, por considerar que el juez de grado efectuó una errónea valoración de los hechos y una incorrecta aplicación de las normas de tránsito, lo que condujo a atribuir indebidamente la responsabilidad exclusiva del accidente al conductor del automóvil.</w:t>
      </w:r>
    </w:p>
    <w:p>
      <w:pPr>
        <w:pStyle w:val="[Normal]"/>
        <w:spacing w:line="360" w:lineRule="auto"/>
        <w:ind w:firstLine="1134"/>
        <w:jc w:val="both"/>
        <w:rPr>
          <w:lang w:val="es-AR" w:eastAsia="es-AR" w:bidi="es-AR"/>
        </w:rPr>
      </w:pPr>
      <w:r>
        <w:rPr>
          <w:lang w:val="es-AR" w:eastAsia="es-AR" w:bidi="es-AR"/>
        </w:rPr>
        <w:t xml:space="preserve">Los agravios son los siguientes: </w:t>
      </w:r>
    </w:p>
    <w:p>
      <w:pPr>
        <w:pStyle w:val="[Normal]"/>
        <w:spacing w:line="360" w:lineRule="auto"/>
        <w:ind w:firstLine="1134"/>
        <w:jc w:val="both"/>
        <w:rPr>
          <w:lang w:val="es-AR" w:eastAsia="es-AR" w:bidi="es-AR"/>
        </w:rPr>
      </w:pPr>
      <w:r>
        <w:rPr>
          <w:lang w:val="es-AR" w:eastAsia="es-AR" w:bidi="es-AR"/>
        </w:rPr>
        <w:t xml:space="preserve">I. Errónea interpretación de la prioridad de paso</w:t>
      </w:r>
    </w:p>
    <w:p>
      <w:pPr>
        <w:pStyle w:val="[Normal]"/>
        <w:spacing w:line="360" w:lineRule="auto"/>
        <w:ind w:firstLine="1134"/>
        <w:jc w:val="both"/>
        <w:rPr>
          <w:lang w:val="es-AR" w:eastAsia="es-AR" w:bidi="es-AR"/>
        </w:rPr>
      </w:pPr>
      <w:r>
        <w:rPr>
          <w:lang w:val="es-AR" w:eastAsia="es-AR" w:bidi="es-AR"/>
        </w:rPr>
        <w:t xml:space="preserve">El cuestionamiento central radica en que el sentenciante aplicó de manera aislada la regla de prioridad de paso del vehículo que circula por la derecha, sin ponderar las excepciones previstas en el art. 41 de la Ley 24.449.</w:t>
      </w:r>
    </w:p>
    <w:p>
      <w:pPr>
        <w:pStyle w:val="[Normal]"/>
        <w:spacing w:line="360" w:lineRule="auto"/>
        <w:ind w:firstLine="1134"/>
        <w:jc w:val="both"/>
        <w:rPr>
          <w:lang w:val="es-AR" w:eastAsia="es-AR" w:bidi="es-AR"/>
        </w:rPr>
      </w:pPr>
      <w:r>
        <w:rPr>
          <w:lang w:val="es-AR" w:eastAsia="es-AR" w:bidi="es-AR"/>
        </w:rPr>
        <w:t xml:space="preserve">El apelante sostiene que el motociclista demandado perdió la prioridad de paso, puesto que circulaba por una calle que finalizaba en la intersección formando una "T" y debió efectuar un giro para incorporarse al Boulevard Tucumán. Afirma que dicha circunstancia configura una de las excepciones legales a la prioridad de quien ingresa desde la derecha, por lo que el demandado debía detenerse y ceder el paso al vehículo que transitaba por la arteria de continuidad.</w:t>
      </w:r>
    </w:p>
    <w:p>
      <w:pPr>
        <w:pStyle w:val="[Normal]"/>
        <w:spacing w:line="360" w:lineRule="auto"/>
        <w:ind w:firstLine="1134"/>
        <w:jc w:val="both"/>
        <w:rPr>
          <w:lang w:val="es-AR" w:eastAsia="es-AR" w:bidi="es-AR"/>
        </w:rPr>
      </w:pPr>
      <w:r>
        <w:rPr>
          <w:lang w:val="es-AR" w:eastAsia="es-AR" w:bidi="es-AR"/>
        </w:rPr>
        <w:t xml:space="preserve">Destaca que la pericia accidentológica incorporada a la investigación penal acredita que la motocicleta ingresó al boulevard realizando una maniobra de giro, circunstancia que, a su entender, fue omitida por el juez al valorar la prueba.</w:t>
      </w:r>
    </w:p>
    <w:p>
      <w:pPr>
        <w:pStyle w:val="[Normal]"/>
        <w:spacing w:line="360" w:lineRule="auto"/>
        <w:ind w:firstLine="1134"/>
        <w:jc w:val="both"/>
        <w:rPr>
          <w:lang w:val="es-AR" w:eastAsia="es-AR" w:bidi="es-AR"/>
        </w:rPr>
      </w:pPr>
      <w:r>
        <w:rPr>
          <w:lang w:val="es-AR" w:eastAsia="es-AR" w:bidi="es-AR"/>
        </w:rPr>
        <w:t xml:space="preserve">II. Omisión de valorar la jerarquía vial del Boulevard Tucumán</w:t>
      </w:r>
    </w:p>
    <w:p>
      <w:pPr>
        <w:pStyle w:val="[Normal]"/>
        <w:spacing w:line="360" w:lineRule="auto"/>
        <w:ind w:firstLine="1134"/>
        <w:jc w:val="both"/>
        <w:rPr>
          <w:lang w:val="es-AR" w:eastAsia="es-AR" w:bidi="es-AR"/>
        </w:rPr>
      </w:pPr>
      <w:r>
        <w:rPr>
          <w:lang w:val="es-AR" w:eastAsia="es-AR" w:bidi="es-AR"/>
        </w:rPr>
        <w:t xml:space="preserve">El apelante sostiene que el magistrado desconoció la distinta jerarquía funcional de las arterias involucradas.</w:t>
      </w:r>
    </w:p>
    <w:p>
      <w:pPr>
        <w:pStyle w:val="[Normal]"/>
        <w:spacing w:line="360" w:lineRule="auto"/>
        <w:ind w:firstLine="1134"/>
        <w:jc w:val="both"/>
        <w:rPr>
          <w:lang w:val="es-AR" w:eastAsia="es-AR" w:bidi="es-AR"/>
        </w:rPr>
      </w:pPr>
      <w:r>
        <w:rPr>
          <w:lang w:val="es-AR" w:eastAsia="es-AR" w:bidi="es-AR"/>
        </w:rPr>
        <w:t xml:space="preserve">Argumenta que el Boulevard Tucumán constituye una vía de mayor importancia, con doble mano, cantero central y mayor fluidez vehicular, mientras que la calle Chacabuco finaliza en dicha intersección. En consecuencia, entiende que quien pretendía incorporarse desde esta última debía extremar las precauciones y esperar que el tránsito estuviera expedito antes de ingresar.</w:t>
      </w:r>
    </w:p>
    <w:p>
      <w:pPr>
        <w:pStyle w:val="[Normal]"/>
        <w:spacing w:line="360" w:lineRule="auto"/>
        <w:ind w:firstLine="1134"/>
        <w:jc w:val="both"/>
        <w:rPr>
          <w:lang w:val="es-AR" w:eastAsia="es-AR" w:bidi="es-AR"/>
        </w:rPr>
      </w:pPr>
      <w:r>
        <w:rPr>
          <w:lang w:val="es-AR" w:eastAsia="es-AR" w:bidi="es-AR"/>
        </w:rPr>
        <w:t xml:space="preserve">Afirma que exigir al conductor que circulaba por el boulevard que detuviera su marcha para permitir el ingreso de vehículos provenientes de calles laterales resulta contrario a la lógica del tránsito y al principio de fluidez vehicular.</w:t>
      </w:r>
    </w:p>
    <w:p>
      <w:pPr>
        <w:pStyle w:val="[Normal]"/>
        <w:spacing w:line="360" w:lineRule="auto"/>
        <w:ind w:firstLine="1134"/>
        <w:jc w:val="both"/>
        <w:rPr>
          <w:lang w:val="es-AR" w:eastAsia="es-AR" w:bidi="es-AR"/>
        </w:rPr>
      </w:pPr>
      <w:r>
        <w:rPr>
          <w:lang w:val="es-AR" w:eastAsia="es-AR" w:bidi="es-AR"/>
        </w:rPr>
        <w:t xml:space="preserve">III. Incorrecta aplicación de la jurisprudencia sobre prioridad de paso.</w:t>
      </w:r>
    </w:p>
    <w:p>
      <w:pPr>
        <w:pStyle w:val="[Normal]"/>
        <w:spacing w:line="360" w:lineRule="auto"/>
        <w:ind w:firstLine="1134"/>
        <w:jc w:val="both"/>
        <w:rPr>
          <w:lang w:val="es-AR" w:eastAsia="es-AR" w:bidi="es-AR"/>
        </w:rPr>
      </w:pPr>
      <w:r>
        <w:rPr>
          <w:lang w:val="es-AR" w:eastAsia="es-AR" w:bidi="es-AR"/>
        </w:rPr>
        <w:t xml:space="preserve">Sostiene que el juez efectuó una interpretación rígida de la prioridad de paso, omitiendo la doctrina jurisprudencial que propicia una interpretación armónica de las normas de tránsito.</w:t>
      </w:r>
    </w:p>
    <w:p>
      <w:pPr>
        <w:pStyle w:val="[Normal]"/>
        <w:spacing w:line="360" w:lineRule="auto"/>
        <w:ind w:firstLine="1134"/>
        <w:jc w:val="both"/>
        <w:rPr>
          <w:lang w:val="es-AR" w:eastAsia="es-AR" w:bidi="es-AR"/>
        </w:rPr>
      </w:pPr>
      <w:r>
        <w:rPr>
          <w:lang w:val="es-AR" w:eastAsia="es-AR" w:bidi="es-AR"/>
        </w:rPr>
        <w:t xml:space="preserve">Invoca precedentes de esa Cámara y de otros tribunales provinciales que reconocen que la prioridad de paso no constituye un principio absoluto cuando el vehículo que circula desde la derecha pretende incorporarse a una avenida o arteria principal, supuesto en el cual debe actuar con máxima prudencia y sólo ingresar cuando ello pueda realizarse sin generar riesgos para terceros.</w:t>
      </w:r>
    </w:p>
    <w:p>
      <w:pPr>
        <w:pStyle w:val="[Normal]"/>
        <w:spacing w:line="360" w:lineRule="auto"/>
        <w:ind w:firstLine="1134"/>
        <w:jc w:val="both"/>
        <w:rPr>
          <w:lang w:val="es-AR" w:eastAsia="es-AR" w:bidi="es-AR"/>
        </w:rPr>
      </w:pPr>
      <w:r>
        <w:rPr>
          <w:lang w:val="es-AR" w:eastAsia="es-AR" w:bidi="es-AR"/>
        </w:rPr>
        <w:t xml:space="preserve">En esa línea, afirma que la sentencia prescindió de considerar el deber general de prevención previsto por el Código Civil y Comercial y las reglas de conducción prudente contenidas en la legislación de tránsito.</w:t>
      </w:r>
    </w:p>
    <w:p>
      <w:pPr>
        <w:pStyle w:val="[Normal]"/>
        <w:spacing w:line="360" w:lineRule="auto"/>
        <w:ind w:firstLine="1134"/>
        <w:jc w:val="both"/>
        <w:rPr>
          <w:lang w:val="es-AR" w:eastAsia="es-AR" w:bidi="es-AR"/>
        </w:rPr>
      </w:pPr>
      <w:r>
        <w:rPr>
          <w:lang w:val="es-AR" w:eastAsia="es-AR" w:bidi="es-AR"/>
        </w:rPr>
        <w:t xml:space="preserve">IV. Errónea valoración de actuaciones penales y mediaciones.</w:t>
      </w:r>
    </w:p>
    <w:p>
      <w:pPr>
        <w:pStyle w:val="[Normal]"/>
        <w:spacing w:line="360" w:lineRule="auto"/>
        <w:ind w:firstLine="1134"/>
        <w:jc w:val="both"/>
        <w:rPr>
          <w:lang w:val="es-AR" w:eastAsia="es-AR" w:bidi="es-AR"/>
        </w:rPr>
      </w:pPr>
      <w:r>
        <w:rPr>
          <w:lang w:val="es-AR" w:eastAsia="es-AR" w:bidi="es-AR"/>
        </w:rPr>
        <w:t xml:space="preserve">Como agravio adicional, cuestiona que el juez haya asignado relevancia al archivo de la causa penal dispuesto tras un acuerdo alcanzado en la instancia de resolución alternativa de conflictos.</w:t>
      </w:r>
    </w:p>
    <w:p>
      <w:pPr>
        <w:pStyle w:val="[Normal]"/>
        <w:spacing w:line="360" w:lineRule="auto"/>
        <w:ind w:firstLine="1134"/>
        <w:jc w:val="both"/>
        <w:rPr>
          <w:lang w:val="es-AR" w:eastAsia="es-AR" w:bidi="es-AR"/>
        </w:rPr>
      </w:pPr>
      <w:r>
        <w:rPr>
          <w:lang w:val="es-AR" w:eastAsia="es-AR" w:bidi="es-AR"/>
        </w:rPr>
        <w:t xml:space="preserve">Sostiene que dicha circunstancia carece de incidencia para determinar la responsabilidad civil, puesto que el archivo obedeció exclusivamente al acuerdo arribado en sede penal y no implica reconocimiento alguno sobre la mecánica del accidente.</w:t>
      </w:r>
    </w:p>
    <w:p>
      <w:pPr>
        <w:pStyle w:val="[Normal]"/>
        <w:spacing w:line="360" w:lineRule="auto"/>
        <w:ind w:firstLine="1134"/>
        <w:jc w:val="both"/>
        <w:rPr>
          <w:lang w:val="es-AR" w:eastAsia="es-AR" w:bidi="es-AR"/>
        </w:rPr>
      </w:pPr>
      <w:r>
        <w:rPr>
          <w:lang w:val="es-AR" w:eastAsia="es-AR" w:bidi="es-AR"/>
        </w:rPr>
        <w:t xml:space="preserve">Asimismo, critica que el magistrado tuviera por acreditada la existencia de un acuerdo celebrado entre los demandados y la aseguradora en otra mediación, cuando la prueba informativa ofrecida para acreditar ese extremo nunca fue producida.</w:t>
      </w:r>
    </w:p>
    <w:p>
      <w:pPr>
        <w:pStyle w:val="[Normal]"/>
        <w:spacing w:line="360" w:lineRule="auto"/>
        <w:ind w:firstLine="1134"/>
        <w:jc w:val="both"/>
        <w:rPr>
          <w:lang w:val="es-AR" w:eastAsia="es-AR" w:bidi="es-AR"/>
        </w:rPr>
      </w:pPr>
      <w:r>
        <w:rPr>
          <w:lang w:val="es-AR" w:eastAsia="es-AR" w:bidi="es-AR"/>
        </w:rPr>
        <w:t xml:space="preserve">Afirma que el juez incurrió así en un error de valoración probatoria al fundar parte de su decisión en un hecho que no quedó demostrado en el proceso. Añade que, aun de existir dicho acuerdo, ello no constituiría elemento idóneo para determinar la responsabilidad en el siniestro, pues podría responder a razones meramente transaccionales o comerciales.</w:t>
      </w:r>
    </w:p>
    <w:p>
      <w:pPr>
        <w:pStyle w:val="[Normal]"/>
        <w:spacing w:line="360" w:lineRule="auto"/>
        <w:ind w:firstLine="1134"/>
        <w:jc w:val="both"/>
        <w:rPr>
          <w:lang w:val="es-AR" w:eastAsia="es-AR" w:bidi="es-AR"/>
        </w:rPr>
      </w:pPr>
      <w:r>
        <w:rPr>
          <w:lang w:val="es-AR" w:eastAsia="es-AR" w:bidi="es-AR"/>
        </w:rPr>
        <w:t xml:space="preserve">Sobre la base de tales agravios, solicita la revocación de la sentencia y que se haga lugar íntegramente a la demanda.</w:t>
      </w:r>
    </w:p>
    <w:p>
      <w:pPr>
        <w:pStyle w:val="[Normal]"/>
        <w:spacing w:line="360" w:lineRule="auto"/>
        <w:ind w:firstLine="1134"/>
        <w:jc w:val="both"/>
        <w:rPr>
          <w:lang w:val="es-AR" w:eastAsia="es-AR" w:bidi="es-AR"/>
        </w:rPr>
      </w:pPr>
      <w:r>
        <w:rPr>
          <w:lang w:val="es-AR" w:eastAsia="es-AR" w:bidi="es-AR"/>
        </w:rPr>
        <w:t xml:space="preserve">En su conteste la contraparte rebate los puntos de agravios esgrimidos y solicita se confirme íntegramente el pronunciamiento apelado, con costas a la recurrente.</w:t>
      </w:r>
    </w:p>
    <w:p>
      <w:pPr>
        <w:pStyle w:val="[Normal]"/>
        <w:spacing w:line="360" w:lineRule="auto"/>
        <w:ind w:firstLine="1134"/>
        <w:jc w:val="both"/>
        <w:rPr>
          <w:lang w:val="es-AR" w:eastAsia="es-AR" w:bidi="es-AR"/>
        </w:rPr>
      </w:pPr>
      <w:r>
        <w:rPr>
          <w:lang w:val="es-AR" w:eastAsia="es-AR" w:bidi="es-AR"/>
        </w:rPr>
        <w:t xml:space="preserve">Entrando a resolver, corresponde dejar sentado que las circunstancias de hecho que fueran evaluadas por el a quo, no han sido objeto de agravio y por ello ha de tenerse por acreditado que "...  </w:t>
      </w:r>
      <w:r>
        <w:rPr>
          <w:i/>
          <w:lang w:val="es-AR" w:eastAsia="es-AR" w:bidi="es-AR"/>
        </w:rPr>
        <w:t xml:space="preserve">el día  24 de julio del 2023, siendo aproximadamente  las 19 hs.-según consta fs. 02 del acta de procedimiento sede penal-, en la intersección de las calles Tucumán y Chacabuco de esta ciudad de Pergamino colisionan el vehículo del actor  con la moto del demandado, no hay presencia de semáforos y en ese momento había buena visibilidad. Que,  la pericia mecánica producida en las presentes y que ratifica la realizada en sede penal sostiene al respecto" DE LA MECANICA DEL ACCIDENTE: de acuerdo a lo observado en los elementos aportados en la presente causa, sobre la mecánica del accidente se describe que: previo al siniestro la motocicleta Corven circulaba por calle Chacabuco en dirección "norte-sur" al cruzar la intersección de dicha arteria con el carril "este-oeste" de calle Tucumán e ingresar con cierta angularidad en una acción de tomar en carril "oeste-este de calle Tucumán es impactado en su lateral medio delantero izquierdo por sector frontal derecho del automóvil Volkswagen que previo al siniestro circulaba por calle Tucumán en dirección este oeste por el carril correspondiente (y que realiza una acción de frenado previo al impacto descripto por el rastro C. Huella de neumáticos previos al quiebre de dicha rastro. De lo analizado se deduce que el automóvil Volkswagen reviste el carácter de embistente físico-mecánico, mientras que la motocicleta Corven reviste el carácter de embestido físico-mecánico</w:t>
      </w:r>
      <w:r>
        <w:rPr>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Igualmente tengo por acreditado según la  pericia practicada en sede penal y aquí ratificada  que " </w:t>
      </w:r>
      <w:r>
        <w:rPr>
          <w:i/>
          <w:lang w:val="es-AR" w:eastAsia="es-AR" w:bidi="es-AR"/>
        </w:rPr>
        <w:t xml:space="preserve">desde el punto de vista físico-mecánico considerando la dirección de avance de la motocicleta Corven, el automóvil Volkswagen entra a la encrucijada de izquierda a derecha de dicha motocicleta; mientras que considerando la dirección de avance del automóvil Volkswagen, la motocicleta Corven entra a la encrucijada de derecha a izquierda de dicho automóvil. VELOCIDAD DE LOS MÖVILES: -Considerando la huellas de frenada descriptas por el automóvil VOLSkwagen C:huellas de neumático de 14,30 metros de longitud, y un coeficiente de roce de 0,7 la velocidad mínima comprobable del automóvil en función de dichos rastros es 50,45 km/h</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A partir de estas conclusiones he de ingresar al tratamiento de los agravios, comenzando sobre el relativo a la pérdida de la prioridad de paso por la maniobra de acceso a calle Tucumán por parte de la motocicleta, y al respecto le asiste razón al recurrente en cuanto a que la regla de prioridad de paso de quien circula desde la derecha consagrada en el art. 41 de la Ley 24.449 (por adhesión efectuada mediante  art. 1 de la Ley 13.927), no es absoluta en el sentido de carecer de excepciones, sino que la propia norma contempla supuestos en los que dicha prioridad se pierde, entre ellos el correspondiente a quien gira para incorporarse a otra vía.</w:t>
      </w:r>
    </w:p>
    <w:p>
      <w:pPr>
        <w:pStyle w:val="[Normal]"/>
        <w:spacing w:line="360" w:lineRule="auto"/>
        <w:ind w:firstLine="1134"/>
        <w:jc w:val="both"/>
        <w:rPr>
          <w:lang w:val="es-AR" w:eastAsia="es-AR" w:bidi="es-AR"/>
        </w:rPr>
      </w:pPr>
      <w:r>
        <w:rPr>
          <w:lang w:val="es-AR" w:eastAsia="es-AR" w:bidi="es-AR"/>
        </w:rPr>
        <w:t xml:space="preserve">En el caso, se encuentra fuera de discusión, en tanto no ha sido  cuestionado, que calle Chacabuco no continúa más allá de su intersección con calle Tucumán, conformando ambas arterias una configuración en "T", extremo que surge del croquis practicado en sede penal. En ese contexto, la propia pericia accidentológica (ratificada en autos) describe que la motocicleta, al cruzar la intersección, ingresó "con cierta angularidad" en una maniobra dirigida a tomar el carril correspondiente de calle Tucumán, lo cual resulta compatible con la necesidad del conductor demandado de girar para poder continuar su marcha, dado que su arteria de origen no tiene continuidad más allá de dicho cruce.</w:t>
      </w:r>
    </w:p>
    <w:p>
      <w:pPr>
        <w:pStyle w:val="[Normal]"/>
        <w:spacing w:line="360" w:lineRule="auto"/>
        <w:ind w:firstLine="1134"/>
        <w:jc w:val="both"/>
        <w:rPr>
          <w:lang w:val="es-AR" w:eastAsia="es-AR" w:bidi="es-AR"/>
        </w:rPr>
      </w:pPr>
      <w:r>
        <w:rPr>
          <w:lang w:val="es-AR" w:eastAsia="es-AR" w:bidi="es-AR"/>
        </w:rPr>
        <w:t xml:space="preserve">Dicha circunstancia, sumada al hecho no controvertido de la conformación en "T" de la encrucijada, permite tener por configurado el supuesto de excepción a la prioridad de paso previsto en el art. 41, inc. g), apartado 3°, de la Ley 24.449 (por adhesión art. 1 Ley 13.927, "Nuevo Código de Tránsito de la Pcia. de Buenos Aires), en cuanto contempla el caso de quien "se vaya a girar para ingresar a otra vía". </w:t>
      </w:r>
    </w:p>
    <w:p>
      <w:pPr>
        <w:pStyle w:val="[Normal]"/>
        <w:spacing w:line="360" w:lineRule="auto"/>
        <w:ind w:firstLine="1134"/>
        <w:jc w:val="both"/>
        <w:rPr>
          <w:lang w:val="es-AR" w:eastAsia="es-AR" w:bidi="es-AR"/>
        </w:rPr>
      </w:pPr>
      <w:r>
        <w:rPr>
          <w:lang w:val="es-AR" w:eastAsia="es-AR" w:bidi="es-AR"/>
        </w:rPr>
        <w:t xml:space="preserve">En tal sentido, cobra relevancia esta cuestión  fáctica distinta de la mera jerarquía de la arteria, y es que se encuentra acreditado por la pericia accidentológica producida en sede penal y ratificada en autos, que la motocicleta conducida por el demandado circulaba por calle Chacabuco, arteria que culmina en la intersección con calle Tucumán, y que ingresó a ésta "con cierta angularidad", en una maniobra de incorporación al carril correspondiente. Esta maniobra, aun cuando no configure estrictamente el "giro" que contempla el art. 41 inc. g) apartado 3° de la mencionada ley de traánsito en su literalidad, sí importa una incorporación a una arteria de mayor entidad cualitativa y cuantitativa, que exigía del demandado un plus de prudencia y contralor de las condiciones del tránsito imperante al momento de ejecutarla (art 1710 inc. b) del C.C. y C.), recaudo que no aparece satisfecho conforme a la dinámica descripta por la pericia.</w:t>
      </w:r>
    </w:p>
    <w:p>
      <w:pPr>
        <w:pStyle w:val="[Normal]"/>
        <w:spacing w:line="360" w:lineRule="auto"/>
        <w:ind w:firstLine="1134"/>
        <w:jc w:val="both"/>
        <w:rPr>
          <w:lang w:val="es-AR" w:eastAsia="es-AR" w:bidi="es-AR"/>
        </w:rPr>
      </w:pPr>
      <w:r>
        <w:rPr>
          <w:lang w:val="es-AR" w:eastAsia="es-AR" w:bidi="es-AR"/>
        </w:rPr>
        <w:t xml:space="preserve">No ignoro que dicha norma exige una interpretación restrictiva por tratarse de una excepción a una regla de seguridad vial, pero en el caso concurren elementos objetivos, concretamente la propia configuración de la encrucijada y la descripción pericial de la maniobra, que autorizan a tener por acreditado el extremo invocado por la apelante, sin que sea necesario, a tales fines, adentrarse en la calificación de calle Tucumán como avenida.</w:t>
      </w:r>
    </w:p>
    <w:p>
      <w:pPr>
        <w:pStyle w:val="[Normal]"/>
        <w:spacing w:line="360" w:lineRule="auto"/>
        <w:ind w:firstLine="1134"/>
        <w:jc w:val="both"/>
        <w:rPr>
          <w:lang w:val="es-AR" w:eastAsia="es-AR" w:bidi="es-AR"/>
        </w:rPr>
      </w:pPr>
      <w:r>
        <w:rPr>
          <w:lang w:val="es-AR" w:eastAsia="es-AR" w:bidi="es-AR"/>
        </w:rPr>
        <w:t xml:space="preserve">Sostiene el apelante que no resultaba necesario acreditar la velocidad del  motociclista, en tanto la pérdida de la prioridad de paso por la maniobra de giro bastaba por sí sola para definir la responsabilidad. Sin perjuicio de reconocer sustento a la maniobra de pérdida de prioridad ya analizada en el punto 1, no puede perderse de vista que el deber de reducir sensiblemente la velocidad al arribar a una bocacalle (art. 39 de la Ley 24.449, de aplicación por adhesión provincial) rige con independencia de la existencia de prioridad de paso, y resulta exigible a todo conductor, tenga o no la preferencia, en tanto integra el estándar general de precaución y previsión que gobierna la circulación vehicular. </w:t>
      </w:r>
    </w:p>
    <w:p>
      <w:pPr>
        <w:pStyle w:val="[Normal]"/>
        <w:spacing w:line="360" w:lineRule="auto"/>
        <w:ind w:firstLine="1134"/>
        <w:jc w:val="both"/>
        <w:rPr>
          <w:lang w:val="es-AR" w:eastAsia="es-AR" w:bidi="es-AR"/>
        </w:rPr>
      </w:pPr>
      <w:r>
        <w:rPr>
          <w:lang w:val="es-AR" w:eastAsia="es-AR" w:bidi="es-AR"/>
        </w:rPr>
        <w:t xml:space="preserve">Por otro lado, tampoco puede desconocerse que el rodado del actor revistió el carácter de embistente físico-mecánico, impactando con su sector frontal derecho el lateral medio delantero izquierdo de la motocicleta, y que la velocidad mínima comprobable al momento del impacto -ya iniciada la maniobra de frenado, según el rastro de 14,30 metros relevado por la pericia- fue de 50,45 km/h, lo que permite inferir una velocidad de aproximación superior a la desarrollada en el instante del choque. </w:t>
      </w:r>
    </w:p>
    <w:p>
      <w:pPr>
        <w:pStyle w:val="[Normal]"/>
        <w:spacing w:line="360" w:lineRule="auto"/>
        <w:ind w:firstLine="1134"/>
        <w:jc w:val="both"/>
        <w:rPr>
          <w:lang w:val="es-AR" w:eastAsia="es-AR" w:bidi="es-AR"/>
        </w:rPr>
      </w:pPr>
      <w:r>
        <w:rPr>
          <w:lang w:val="es-AR" w:eastAsia="es-AR" w:bidi="es-AR"/>
        </w:rPr>
        <w:t xml:space="preserve">Ello, sin llegar a configurar por sí solo una infracción reglamentaria autónoma no debatida en autos, sí constituye un elemento objetivo que, ponderado en conjunto con la infracción al deber de ceder el paso, da cuenta de que el actor no extremó las precauciones exigibles al arribar a una encrucijada (doctrina del art. 41, primer párrafo, Ley 24.449).</w:t>
      </w:r>
    </w:p>
    <w:p>
      <w:pPr>
        <w:pStyle w:val="[Normal]"/>
        <w:spacing w:line="360" w:lineRule="auto"/>
        <w:ind w:firstLine="1134"/>
        <w:jc w:val="both"/>
        <w:rPr>
          <w:lang w:val="es-AR" w:eastAsia="es-AR" w:bidi="es-AR"/>
        </w:rPr>
      </w:pPr>
      <w:r>
        <w:rPr>
          <w:lang w:val="es-AR" w:eastAsia="es-AR" w:bidi="es-AR"/>
        </w:rPr>
        <w:t xml:space="preserve">La conjunción de ambos extremos, esto es la maniobra de giro que hizo perder al demandado motociclista la prioridad de paso que en principio le asistía, y la insuficiente reducción de la velocidad por parte del actor al aproximarse a una encrucijada carente de semaforización, sumada a su condición de embistente, conduce a concluir que el siniestro reconoce como causa la conducta concurrente de ambos conductores, sin que pueda predicarse la responsabilidad exclusiva y excluyente de una sola de las partes.</w:t>
      </w:r>
    </w:p>
    <w:p>
      <w:pPr>
        <w:pStyle w:val="[Normal]"/>
        <w:spacing w:line="360" w:lineRule="auto"/>
        <w:ind w:firstLine="1134"/>
        <w:jc w:val="both"/>
        <w:rPr>
          <w:lang w:val="es-AR" w:eastAsia="es-AR" w:bidi="es-AR"/>
        </w:rPr>
      </w:pPr>
      <w:r>
        <w:rPr>
          <w:lang w:val="es-AR" w:eastAsia="es-AR" w:bidi="es-AR"/>
        </w:rPr>
        <w:t xml:space="preserve">En consecuencia, entiendo que no corresponde mantener la solución de grado en cuanto atribuye la responsabilidad exclusiva y excluyente al actor, ni tampoco acoger la pretensión revisora en su totalidad, sino que media una concurrencia causal entre la conducta de ambos protagonistas, que corresponde distribuir conforme a la incidencia causal de cada una en la producción del evento dañoso (arts. 1726, 1729 y ccds, del C.C. y C). Así, atento a que la infracción al deber de ceder el paso frente a quien circulaba con prioridad continúa siendo la causa determinante y de mayor peso causal en la producción del siniestro, mientras que la incorporación de la motocicleta a una arteria de mayor circulación sin las precauciones adicionales que dicha maniobra exigía constituyó una concausa relevante aunque de menor entidad, propongo distribuir la responsabilidad en un 60% a cargo del actor y un 40% a cargo del demandado, propietario y conductor de la motocicleta.</w:t>
      </w:r>
    </w:p>
    <w:p>
      <w:pPr>
        <w:pStyle w:val="[Normal]"/>
        <w:spacing w:line="360" w:lineRule="auto"/>
        <w:ind w:firstLine="1134"/>
        <w:jc w:val="both"/>
        <w:rPr>
          <w:lang w:val="es-AR" w:eastAsia="es-AR" w:bidi="es-AR"/>
        </w:rPr>
      </w:pPr>
      <w:r>
        <w:rPr>
          <w:lang w:val="es-AR" w:eastAsia="es-AR" w:bidi="es-AR"/>
        </w:rPr>
        <w:t xml:space="preserve">En virtud de la modificación del fallo de primera instancia, he de tratar los dos temas que no fueran resueltos y que son la defensa de no seguro  y los rubros indemnizatorios solicitados en demanda,</w:t>
      </w:r>
    </w:p>
    <w:p>
      <w:pPr>
        <w:pStyle w:val="[Normal]"/>
        <w:spacing w:line="360" w:lineRule="auto"/>
        <w:ind w:firstLine="1134"/>
        <w:jc w:val="both"/>
        <w:rPr>
          <w:lang w:val="es-AR" w:eastAsia="es-AR" w:bidi="es-AR"/>
        </w:rPr>
      </w:pPr>
      <w:r>
        <w:rPr>
          <w:lang w:val="es-AR" w:eastAsia="es-AR" w:bidi="es-AR"/>
        </w:rPr>
        <w:t xml:space="preserve">En cuanto al primera cuestión, la citada en garantía al contestar el traslado de demanda que se le  hiciera, opone exclusión de cobertura respecto del accidente de tránsito "..</w:t>
      </w:r>
      <w:r>
        <w:rPr>
          <w:i/>
          <w:lang w:val="es-AR" w:eastAsia="es-AR" w:bidi="es-AR"/>
        </w:rPr>
        <w:t xml:space="preserve">.ocurrido el día 24/07/2023, en el que interviniera una motocicleta marca Corven Indiana 256cc, dominio A021LUV, ya que el siniestro no se encuentra cubierto por póliza en razón de encontrarse suspendida la cobertura por falta de pago al momento del hecho, conforme a lo dispuesto por Clausula CA-CO Clausula 6.1</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De acuerdo a los elementos colectados en la prueba rendidas en autos, puede extraerse las siguientes conclusiones:</w:t>
      </w:r>
    </w:p>
    <w:p>
      <w:pPr>
        <w:pStyle w:val="[Normal]"/>
        <w:spacing w:line="360" w:lineRule="auto"/>
        <w:ind w:firstLine="1134"/>
        <w:jc w:val="both"/>
        <w:rPr>
          <w:lang w:val="es-AR" w:eastAsia="es-AR" w:bidi="es-AR"/>
        </w:rPr>
      </w:pPr>
      <w:r>
        <w:rPr>
          <w:lang w:val="es-AR" w:eastAsia="es-AR" w:bidi="es-AR"/>
        </w:rPr>
        <w:t xml:space="preserve">a) Mediante la prueba pericial contable, llevada a cabo por la contadora pública  Andrea Verónica Nasisi, se constató la existencia de la "... </w:t>
      </w:r>
      <w:r>
        <w:rPr>
          <w:i/>
          <w:lang w:val="es-AR" w:eastAsia="es-AR" w:bidi="es-AR"/>
        </w:rPr>
        <w:t xml:space="preserve">póliza de seguro Nº 1.456.607- 481, Endoso Nº 4.825.375, emitido por el Triunfo Coop. de Seguros LTDA, a favor del Socio Nº 3.350.312, Sr. Díaz, Francisco Ricardo, DNI, 5.397.156. Con vigencia desde las 12 hs del 12-07-2023 hasta las 12 hs del 13-08-2023. La misma recae sobre una Moto 90-250 cc, Corven Indiana 256 CC, Año 2016, Patente: A021LUV</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b) La póliza contratada, consistía en "Seguro Obligatorio 801- SO-RC 6.1 Póliza básica del Seguro Obligatorio de Responsabilidad Civil..."</w:t>
      </w:r>
    </w:p>
    <w:p>
      <w:pPr>
        <w:pStyle w:val="[Normal]"/>
        <w:spacing w:line="360" w:lineRule="auto"/>
        <w:ind w:firstLine="1134"/>
        <w:jc w:val="both"/>
        <w:rPr>
          <w:lang w:val="es-AR" w:eastAsia="es-AR" w:bidi="es-AR"/>
        </w:rPr>
      </w:pPr>
      <w:r>
        <w:rPr>
          <w:lang w:val="es-AR" w:eastAsia="es-AR" w:bidi="es-AR"/>
        </w:rPr>
        <w:t xml:space="preserve">Concretamente, y de acuerdo a lo detallado por la experta, la misma consistía en "</w:t>
      </w:r>
      <w:r>
        <w:rPr>
          <w:i/>
          <w:lang w:val="es-AR" w:eastAsia="es-AR" w:bidi="es-AR"/>
        </w:rPr>
        <w:t xml:space="preserve">PÓLIZA BÁSICA DEL SEGURO OBLIGATORIO DE RESPONSABILIDAD CIVIL, ARTICULO 68 DE LA LEY N°24.449 (CUBRIENDO LOS RIESGOS DE MUERTE, INCAPACIDAD, LESIONES Y OBLIGACION LEGAL AUTONOMA) Cláusula 1- Responsabilidad Civil hacia terceros. Riesgo cubierto Cláusula 1.1 - Riesgo Cubierto El Asegurador se obliga a mantener indemne al Asegurado y/o a la persona que con su autorización conduzca el vehículo objeto del seguro (en adelante el Conductor) por cuanto deban a un tercero sólo por los conceptos e importes previstos en la Cláusula 2 - Limite de responsabilidad, por los daños personales causados por ese vehículo o por la carga que transporte en condiciones reglamentarias, por hechos acaecidos en el plazo convenido en razón de la Responsabilidad Civil que pueda resultar a cargo de ellos... Se cubre la responsabilidad en que se incurra por el vehículo automotor objeto del Seguro, por los daños y con los límites que se indican a continuación: Muerte o incapacidad total y permanente por persona PESOS TRES MILLONES NOVEVIENTOS MIL ($3.900.000). Incapacidad parcial y permanente por la suma que resulte de aplicar el porcentaje de incapacidad padecida     sobre el monto previsto para el caso de muerte o incapacidad total y permanente. Dicha incapacidad parcial y permanente    se sujetará al Baremo que figura en el cuadro de la Cláusula 9. Un límite por acontecimiento en caso de producirse pluralidad de reclamos igual al doble del previsto para el caso de muerte o incapacidad permanente. El Asegurador toma a su cargo, como único accesorio de la obligación asumida, el pago de costas judiciales en causa civil incluidos los intereses, y de los gastos extrajudiciales en que se incurra para resistir la pretensión del tercero (Artículo 110 de la Ley de Seguros). El Asegurador asume esta obligación únicamente a favor del Asegurado y del Conductor por los conceptos y límites previstos en la cláusula siguiente, por cada acontecimiento ocurrido durante la vigencia del seguro. La presente cobertura ampara a las personas transportadas mientras asciendan o desciendan del habitáculo. La extensión de la cobertura al Conductor queda condicionada a que éste cumpla las cargas y se someta a las cláusulas de la presente póliza y de la Ley como el mismo Asegurado al cual se lo asimila. En adelante, la mención del Asegurado, comprende en su caso al Conductor</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c) Conforme al "...  </w:t>
      </w:r>
      <w:r>
        <w:rPr>
          <w:i/>
          <w:lang w:val="es-AR" w:eastAsia="es-AR" w:bidi="es-AR"/>
        </w:rPr>
        <w:t xml:space="preserve">detalle de pagos que se encuentra en los registros de la empresa El Triunfo Cooperativa de Seguros Limitada</w:t>
      </w:r>
      <w:r>
        <w:rPr>
          <w:lang w:val="es-AR" w:eastAsia="es-AR" w:bidi="es-AR"/>
        </w:rPr>
        <w:t xml:space="preserve">...", agregado mediante "ANEXO II- PAGOS" en el mencionado informe pericial, la cuota con vencimiento el 23/7/2023 fue abonada en fecha 24/7/2023.-</w:t>
      </w:r>
    </w:p>
    <w:p>
      <w:pPr>
        <w:pStyle w:val="[Normal]"/>
        <w:spacing w:line="360" w:lineRule="auto"/>
        <w:ind w:firstLine="1134"/>
        <w:jc w:val="both"/>
        <w:rPr>
          <w:lang w:val="es-AR" w:eastAsia="es-AR" w:bidi="es-AR"/>
        </w:rPr>
      </w:pPr>
      <w:r>
        <w:rPr>
          <w:lang w:val="es-AR" w:eastAsia="es-AR" w:bidi="es-AR"/>
        </w:rPr>
        <w:t xml:space="preserve">d) También el informe de la experta consigna que la "...  </w:t>
      </w:r>
      <w:r>
        <w:rPr>
          <w:i/>
          <w:lang w:val="es-AR" w:eastAsia="es-AR" w:bidi="es-AR"/>
        </w:rPr>
        <w:t xml:space="preserve">denuncia de siniestro Nº 169255, a favor del Sr Díaz, Francisco Ricardo, póliza Nª 4825375, con fecha de ocurrencia 27/07/2023 a las 17:00 hs y fecha de denuncia 06/02/2025, 08:13 hs...  en la misma se denuncia que la fecha de ocurrencia del accidente es el día 27/07/2023. En la misma denuncia, se encuentra la vigencia de la póliza que determina que es desde el 13/03/2023 al 13/03/20</w:t>
      </w:r>
      <w:r>
        <w:rPr>
          <w:lang w:val="es-AR" w:eastAsia="es-AR" w:bidi="es-AR"/>
        </w:rPr>
        <w:t xml:space="preserve">24.".</w:t>
      </w:r>
    </w:p>
    <w:p>
      <w:pPr>
        <w:pStyle w:val="[Normal]"/>
        <w:spacing w:line="360" w:lineRule="auto"/>
        <w:ind w:firstLine="1134"/>
        <w:jc w:val="both"/>
        <w:rPr>
          <w:lang w:val="es-AR" w:eastAsia="es-AR" w:bidi="es-AR"/>
        </w:rPr>
      </w:pPr>
      <w:r>
        <w:rPr>
          <w:lang w:val="es-AR" w:eastAsia="es-AR" w:bidi="es-AR"/>
        </w:rPr>
        <w:t xml:space="preserve">Es decir que ni de la prueba pericial ni de la demás probanzas rendidas en autos obra constancia alguna de la suspensión de cobertura invocada por Triunfo Seguros, es más la cuota correspondiente al mes de julio de 2023 fue abonada y no cuestionada por la compañía aseguradora.</w:t>
      </w:r>
    </w:p>
    <w:p>
      <w:pPr>
        <w:pStyle w:val="[Normal]"/>
        <w:spacing w:line="360" w:lineRule="auto"/>
        <w:ind w:firstLine="1134"/>
        <w:jc w:val="both"/>
        <w:rPr>
          <w:lang w:val="es-AR" w:eastAsia="es-AR" w:bidi="es-AR"/>
        </w:rPr>
      </w:pPr>
      <w:r>
        <w:rPr>
          <w:lang w:val="es-AR" w:eastAsia="es-AR" w:bidi="es-AR"/>
        </w:rPr>
        <w:t xml:space="preserve">A ello debo agregar que de la prueba acompañada por la  excepcionante, se desprende que  la comunicación de declinación de cobertura y citación en garantía a los asegurados, fue efectuada el 06/02/2025, conforme documental adjuntada en la contestación de la citación.</w:t>
      </w:r>
    </w:p>
    <w:p>
      <w:pPr>
        <w:pStyle w:val="[Normal]"/>
        <w:spacing w:line="360" w:lineRule="auto"/>
        <w:ind w:firstLine="1134"/>
        <w:jc w:val="both"/>
        <w:rPr>
          <w:lang w:val="es-AR" w:eastAsia="es-AR" w:bidi="es-AR"/>
        </w:rPr>
      </w:pPr>
      <w:r>
        <w:rPr>
          <w:lang w:val="es-AR" w:eastAsia="es-AR" w:bidi="es-AR"/>
        </w:rPr>
        <w:t xml:space="preserve">Sin embargo y conforme reconociera también la citada "... </w:t>
      </w:r>
      <w:r>
        <w:rPr>
          <w:i/>
          <w:lang w:val="es-AR" w:eastAsia="es-AR" w:bidi="es-AR"/>
        </w:rPr>
        <w:t xml:space="preserve">el accionado Díaz Francisco efectuó la denuncia administrativa ante mi mandante en fecha 27/07/2023</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Es decir que y de acuerdo a tal reconocimiento si su mandante tomó conocimiento de la existencia del hecho el 27 julio de 2023, la comunicación a sus asegurados declinando cobertura no fue efectuada en el plazo que determina la normativa, si en cambio debe considerarse cumplida la obligación por parte del asegurado (Art. 56 y 115 de la ley  de seguros).</w:t>
      </w:r>
    </w:p>
    <w:p>
      <w:pPr>
        <w:pStyle w:val="[Normal]"/>
        <w:spacing w:line="360" w:lineRule="auto"/>
        <w:ind w:firstLine="1134"/>
        <w:jc w:val="both"/>
        <w:rPr>
          <w:lang w:val="es-AR" w:eastAsia="es-AR" w:bidi="es-AR"/>
        </w:rPr>
      </w:pPr>
      <w:r>
        <w:rPr>
          <w:lang w:val="es-AR" w:eastAsia="es-AR" w:bidi="es-AR"/>
        </w:rPr>
        <w:t xml:space="preserve">Por lo cual, corresponde rechazar la defensa de no seguro efectuada por la citada, la cual debe hacerse responsable en forma solidaria con los demandados por las indemnizaciones que estos deban por motivo del siniestro y en la medida del seguro (Arts. 109, 118 y ccs. de la ley de seguros).</w:t>
      </w:r>
    </w:p>
    <w:p>
      <w:pPr>
        <w:pStyle w:val="[Normal]"/>
        <w:spacing w:line="360" w:lineRule="auto"/>
        <w:ind w:firstLine="1134"/>
        <w:jc w:val="both"/>
        <w:rPr>
          <w:lang w:val="es-AR" w:eastAsia="es-AR" w:bidi="es-AR"/>
        </w:rPr>
      </w:pPr>
      <w:r>
        <w:rPr>
          <w:lang w:val="es-AR" w:eastAsia="es-AR" w:bidi="es-AR"/>
        </w:rPr>
        <w:t xml:space="preserve">En lo que respecta a los rubros reclamados en demanda, los he de tratar conforme fueran peticionados y con la misma denominación, a saber:	</w:t>
        <w:br w:type="textWrapping"/>
      </w:r>
      <w:r>
        <w:rPr>
          <w:lang w:val="es-AR" w:eastAsia="es-AR" w:bidi="es-AR"/>
        </w:rPr>
        <w:t xml:space="preserve"> 	a) </w:t>
      </w:r>
      <w:r>
        <w:rPr>
          <w:b/>
          <w:u w:val="single"/>
          <w:lang w:val="es-AR" w:eastAsia="es-AR" w:bidi="es-AR"/>
        </w:rPr>
        <w:t xml:space="preserve">Daño material</w:t>
      </w:r>
      <w:r>
        <w:rPr>
          <w:lang w:val="es-AR" w:eastAsia="es-AR" w:bidi="es-AR"/>
        </w:rPr>
        <w:t xml:space="preserve">: Las fotografías adjuntadas a la demanda, son ilustrativas de los deterioros sufridos por el rodado VW Gol Trend dominio KYP315   imágenes que coincide con la descripción hecha en el informe de fs. 6 de la causa penal adjuntada en forma digitalizada mediante oficio agregado el 30/6/2025).</w:t>
      </w:r>
    </w:p>
    <w:p>
      <w:pPr>
        <w:pStyle w:val="[Normal]"/>
        <w:spacing w:line="360" w:lineRule="auto"/>
        <w:ind w:firstLine="1134"/>
        <w:jc w:val="both"/>
        <w:rPr>
          <w:lang w:val="es-AR" w:eastAsia="es-AR" w:bidi="es-AR"/>
        </w:rPr>
      </w:pPr>
      <w:r>
        <w:rPr>
          <w:lang w:val="es-AR" w:eastAsia="es-AR" w:bidi="es-AR"/>
        </w:rPr>
        <w:t xml:space="preserve">Los daños experimentados en el automóvil del accionante han sido corroborados por  el  Perito Oficial Ingeniero Mecánico Javier Telmo Ferrett, quien dictaminó que "</w:t>
      </w:r>
      <w:r>
        <w:rPr>
          <w:i/>
          <w:lang w:val="es-AR" w:eastAsia="es-AR" w:bidi="es-AR"/>
        </w:rPr>
        <w:t xml:space="preserve">Los valores de repuesto y mano de obra del presupuesto (de acuerdo al detalle del mismo presentado) en Pag. 1 – Presupuesto “autopartes Pergamino” 17/10/24; Pag. 1 – Presupuesto “Climaper” 17/10/24; Pag. 1 – Presupuesto “MR Pintura profesional” 6/9/24 del presente expediente resultan coherentes y se compadecen con los valores razonables de mercado de repuestos originales dentro del margen de fecha citada</w:t>
      </w:r>
      <w:r>
        <w:rPr>
          <w:lang w:val="es-AR" w:eastAsia="es-AR" w:bidi="es-AR"/>
        </w:rPr>
        <w:t xml:space="preserve">" (escrito electrónico del 11/7/2025).-</w:t>
      </w:r>
    </w:p>
    <w:p>
      <w:pPr>
        <w:pStyle w:val="[Normal]"/>
        <w:spacing w:line="360" w:lineRule="auto"/>
        <w:ind w:firstLine="1134"/>
        <w:jc w:val="both"/>
        <w:rPr>
          <w:lang w:val="es-AR" w:eastAsia="es-AR" w:bidi="es-AR"/>
        </w:rPr>
      </w:pPr>
      <w:r>
        <w:rPr>
          <w:lang w:val="es-AR" w:eastAsia="es-AR" w:bidi="es-AR"/>
        </w:rPr>
        <w:t xml:space="preserve">Dicho informe no ha sido objeto de observación alguna, por lo que el rubro se encuentra acreditado, por lo que tomando los presupuestos presentados en demanda,  lo he de fijar en la suma de $3.100.000, de los cuales el demandado y citada en garantía deberán afrontar el 40% (Art. 1726 y 1729 del CCyC).-</w:t>
      </w:r>
    </w:p>
    <w:p>
      <w:pPr>
        <w:pStyle w:val="[Normal]"/>
        <w:spacing w:line="360" w:lineRule="auto"/>
        <w:ind w:firstLine="1134"/>
        <w:jc w:val="both"/>
        <w:rPr>
          <w:lang w:val="es-AR" w:eastAsia="es-AR" w:bidi="es-AR"/>
        </w:rPr>
      </w:pPr>
      <w:r>
        <w:rPr>
          <w:lang w:val="es-AR" w:eastAsia="es-AR" w:bidi="es-AR"/>
        </w:rPr>
        <w:t xml:space="preserve">b) </w:t>
      </w:r>
      <w:r>
        <w:rPr>
          <w:b/>
          <w:lang w:val="es-AR" w:eastAsia="es-AR" w:bidi="es-AR"/>
        </w:rPr>
        <w:t xml:space="preserve">Desvalorizacion del rodado</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El experto en su informe pericial ha destacado expresamente que no "... </w:t>
      </w:r>
      <w:r>
        <w:rPr>
          <w:i/>
          <w:lang w:val="es-AR" w:eastAsia="es-AR" w:bidi="es-AR"/>
        </w:rPr>
        <w:t xml:space="preserve">habiendo descripción de fallas estructurales en el automóvil, realizando en el mismo los cambios de repuesto y reparación consignados en los presupuestos adjuntos del presente expediente, el ciclomotor no debería sufrir desvalorización</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Si bien se hace referencia a un "ciclomotor", de acuerdo a la pregunta que el perito estaba contestando en ese punto eran las nro. "8 y 9", efectuadas por la parte actora y en las mismas se solicitaba se expidiera sobre el automotor "Volkswagen Gol Trend dominio KYP315", por lo que ha sido un error en la referencia a un vehículo menor como refiere en su informe.</w:t>
      </w:r>
    </w:p>
    <w:p>
      <w:pPr>
        <w:pStyle w:val="[Normal]"/>
        <w:spacing w:line="360" w:lineRule="auto"/>
        <w:ind w:firstLine="1134"/>
        <w:jc w:val="both"/>
        <w:rPr>
          <w:lang w:val="es-AR" w:eastAsia="es-AR" w:bidi="es-AR"/>
        </w:rPr>
      </w:pPr>
      <w:r>
        <w:rPr>
          <w:lang w:val="es-AR" w:eastAsia="es-AR" w:bidi="es-AR"/>
        </w:rPr>
        <w:t xml:space="preserve">En virtud de ello no corresponde indemnización alguna por este rubro.</w:t>
      </w:r>
    </w:p>
    <w:p>
      <w:pPr>
        <w:pStyle w:val="[Normal]"/>
        <w:spacing w:line="360" w:lineRule="auto"/>
        <w:ind w:firstLine="1134"/>
        <w:jc w:val="both"/>
        <w:rPr>
          <w:lang w:val="es-AR" w:eastAsia="es-AR" w:bidi="es-AR"/>
        </w:rPr>
      </w:pPr>
      <w:r>
        <w:rPr>
          <w:lang w:val="es-AR" w:eastAsia="es-AR" w:bidi="es-AR"/>
        </w:rPr>
        <w:t xml:space="preserve">c)  </w:t>
      </w:r>
      <w:r>
        <w:rPr>
          <w:b/>
          <w:u w:val="single"/>
          <w:lang w:val="es-AR" w:eastAsia="es-AR" w:bidi="es-AR"/>
        </w:rPr>
        <w:t xml:space="preserve">Privación de uso</w:t>
      </w:r>
      <w:r>
        <w:rPr>
          <w:lang w:val="es-AR" w:eastAsia="es-AR" w:bidi="es-AR"/>
        </w:rPr>
        <w:t xml:space="preserve">: Sin perjuicio que la actora en su demanda ha solicitado un monto sin mencionar los días que entiende el vehículo no estaría a su disposición de acuerdo a lo referido en el informe técnico pericial </w:t>
      </w:r>
      <w:r>
        <w:rPr>
          <w:i/>
          <w:lang w:val="es-AR" w:eastAsia="es-AR" w:bidi="es-AR"/>
        </w:rPr>
        <w:t xml:space="preserve">"considerando un Standard de 8 hs de trabajo, el tiempo de reparación en taller es de 16 días hábiles para realizar una reparación de acuerdo a los ítems del presupuesto presentado"</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Aquí, cabe recordar que tratándose el presente de un reclamo fundado en la responsabilidad civil extracontractual, el causante del daño solo debe responder por las consecuencias mediatas y por las inmediatas previsibles, conforme lo preceptúan los Arts. 1726 y 1727 del C.C. y C.-</w:t>
      </w:r>
    </w:p>
    <w:p>
      <w:pPr>
        <w:pStyle w:val="[Normal]"/>
        <w:spacing w:line="360" w:lineRule="auto"/>
        <w:ind w:firstLine="1134"/>
        <w:jc w:val="both"/>
        <w:rPr>
          <w:lang w:val="es-AR" w:eastAsia="es-AR" w:bidi="es-AR"/>
        </w:rPr>
      </w:pPr>
      <w:r>
        <w:rPr>
          <w:lang w:val="es-AR" w:eastAsia="es-AR" w:bidi="es-AR"/>
        </w:rPr>
        <w:t xml:space="preserve">Y, respecto al rubro, es notorio que mientras duran las reparaciones no se puede usar un vehículo configurando para el dueño un daño cierto e indemnizable, presumiéndose que quien tiene un rodado lo usa para llenar necesidades, resultando adecuado que en base a la pericia mecánica de fecha y los daños sufridos se determina en 24 días de inmovilización del rodado (en tanto el peritaje informa sobre días hábiles), por lo que fijando prudencialmente la cifra de $ 20.000 diarios, el gasto de alquiler de otro vehículo similar para cubrir los servicios deduciendo un 30% por combustible no consumido y desgaste no sufrido, propongo indemnizar el rubro en $ 336.000, suma de la cual la demandada y citada en garantía deberán afrontar en la proporción indicada (Art. 165 del C.P.C. y C.).                           d) </w:t>
      </w:r>
      <w:r>
        <w:rPr>
          <w:b/>
          <w:u w:val="single"/>
          <w:lang w:val="es-AR" w:eastAsia="es-AR" w:bidi="es-AR"/>
        </w:rPr>
        <w:t xml:space="preserve">Daño moral</w:t>
      </w:r>
      <w:r>
        <w:rPr>
          <w:lang w:val="es-AR" w:eastAsia="es-AR" w:bidi="es-AR"/>
        </w:rPr>
        <w:t xml:space="preserve">: Previo a todo debo aclarar que el hecho no le ocasionó lesiones físicas, sino solo daños materiales al vehículo. Sin embargo, tal circunstancia no constituye  un obstáculo para la procedencia del daño extrapatrimonial.</w:t>
      </w:r>
    </w:p>
    <w:p>
      <w:pPr>
        <w:pStyle w:val="[Normal]"/>
        <w:spacing w:line="360" w:lineRule="auto"/>
        <w:ind w:firstLine="1134"/>
        <w:jc w:val="both"/>
        <w:rPr>
          <w:lang w:val="es-AR" w:eastAsia="es-AR" w:bidi="es-AR"/>
        </w:rPr>
      </w:pPr>
      <w:r>
        <w:rPr>
          <w:lang w:val="es-AR" w:eastAsia="es-AR" w:bidi="es-AR"/>
        </w:rPr>
        <w:t xml:space="preserve">En ese contexto, la colisión sufrida por el vehículo de propiedad de la actora, las gestiones que debió realizar para obtener la reparación del daño y la persistencia del incumplimiento por parte de la aseguradora que la obligó a promover la presente acción para obtener el reconocimiento de un derecho que estimaba legítimo constituyen circunstancias que apreciadas en su conjunto, permiten presumir la existencia de una mortificación espiritual que excede las meras incomodidades propias de la vida y justifica el reconocimiento del rubro reclamado.</w:t>
      </w:r>
    </w:p>
    <w:p>
      <w:pPr>
        <w:pStyle w:val="[Normal]"/>
        <w:spacing w:line="360" w:lineRule="auto"/>
        <w:ind w:firstLine="1134"/>
        <w:jc w:val="both"/>
        <w:rPr>
          <w:lang w:val="es-AR" w:eastAsia="es-AR" w:bidi="es-AR"/>
        </w:rPr>
      </w:pPr>
      <w:r>
        <w:rPr>
          <w:lang w:val="es-AR" w:eastAsia="es-AR" w:bidi="es-AR"/>
        </w:rPr>
        <w:t xml:space="preserve">En tal sentido, este Tribunal ha resuelto en precedentes análogos que la inexistencia de lesiones físicas no impide la procedencia del daño moral cuando las particularidades del caso revelan una afectación extrapatrimonial susceptible de reparación (conf. causa n.° 4338/23, S.D. del 26/10/2023, RSD 156/2023), criterio que corresponde mantener en la presente causa.</w:t>
      </w:r>
    </w:p>
    <w:p>
      <w:pPr>
        <w:pStyle w:val="[Normal]"/>
        <w:spacing w:line="360" w:lineRule="auto"/>
        <w:ind w:firstLine="1134"/>
        <w:jc w:val="both"/>
        <w:rPr>
          <w:lang w:val="es-AR" w:eastAsia="es-AR" w:bidi="es-AR"/>
        </w:rPr>
      </w:pPr>
      <w:r>
        <w:rPr>
          <w:lang w:val="es-AR" w:eastAsia="es-AR" w:bidi="es-AR"/>
        </w:rPr>
        <w:t xml:space="preserve">En tales condiciones, ponderando la naturaleza y gravedad del hecho y las pautas de prudente apreciación judicial y las facultades conferidas por el art. 165 del CPCC, propongo al Acuerdo fijar la indemnización por daño moral en la suma de pesos un millón seiscientos mil pesos ($1.600.000), según valores actualizados a esta fecha.</w:t>
      </w:r>
    </w:p>
    <w:p>
      <w:pPr>
        <w:pStyle w:val="[Normal]"/>
        <w:spacing w:line="360" w:lineRule="auto"/>
        <w:ind w:firstLine="1134"/>
        <w:jc w:val="both"/>
        <w:rPr>
          <w:lang w:val="es-AR" w:eastAsia="es-AR" w:bidi="es-AR"/>
        </w:rPr>
      </w:pPr>
      <w:r>
        <w:rPr>
          <w:lang w:val="es-AR" w:eastAsia="es-AR" w:bidi="es-AR"/>
        </w:rPr>
        <w:t xml:space="preserve">e) Intereses:</w:t>
      </w:r>
    </w:p>
    <w:p>
      <w:pPr>
        <w:pStyle w:val="[Normal]"/>
        <w:spacing w:line="360" w:lineRule="auto"/>
        <w:ind w:firstLine="1134"/>
        <w:jc w:val="both"/>
        <w:rPr>
          <w:lang w:val="es-AR" w:eastAsia="es-AR" w:bidi="es-AR"/>
        </w:rPr>
      </w:pPr>
      <w:r>
        <w:rPr>
          <w:lang w:val="es-AR" w:eastAsia="es-AR" w:bidi="es-AR"/>
        </w:rPr>
        <w:t xml:space="preserve">En punto a los intereses del rubro daño material corresponde aplicar una tasa pura del 6% a devengarse desde la fecha del hecho (24/07/2023) hasta la fecha de cada presupuestos acompañados en la demanda (06/09/2023,17/10/2024 y 17/10/2024). </w:t>
      </w:r>
      <w:r>
        <w:rPr>
          <w:color w:val="000000"/>
          <w:lang w:val="es-AR" w:eastAsia="es-AR" w:bidi="es-AR"/>
        </w:rPr>
        <w:t xml:space="preserve">Y desde allí se aplicará la tasa pasiva más alta que paga el Banco de la Provincia de Buenos Aires para sus</w:t>
      </w:r>
      <w:r>
        <w:rPr>
          <w:lang w:val="es-AR" w:eastAsia="es-AR" w:bidi="es-AR"/>
        </w:rPr>
        <w:t xml:space="preserve"> depósitos a treinta días </w:t>
      </w:r>
      <w:r>
        <w:rPr>
          <w:color w:val="000000"/>
          <w:lang w:val="es-AR" w:eastAsia="es-AR" w:bidi="es-AR"/>
        </w:rPr>
        <w:t xml:space="preserve">hasta el momento del efectivo pago. Y respecto el daño moral y la privación de uso </w:t>
      </w:r>
      <w:r>
        <w:rPr>
          <w:lang w:val="es-AR" w:eastAsia="es-AR" w:bidi="es-AR"/>
        </w:rPr>
        <w:t xml:space="preserve">una tasa pura del 6% a devengarse desde la fecha del hecho (24/07/2023) hasta la presente sentencia. </w:t>
      </w:r>
      <w:r>
        <w:rPr>
          <w:color w:val="000000"/>
          <w:lang w:val="es-AR" w:eastAsia="es-AR" w:bidi="es-AR"/>
        </w:rPr>
        <w:t xml:space="preserve">Y desde allí se aplicará la tasa pasiva más alta que paga el Banco de la Provincia de Buenos Aires para sus</w:t>
      </w:r>
      <w:r>
        <w:rPr>
          <w:lang w:val="es-AR" w:eastAsia="es-AR" w:bidi="es-AR"/>
        </w:rPr>
        <w:t xml:space="preserve"> depósitos a treinta días </w:t>
      </w:r>
      <w:r>
        <w:rPr>
          <w:color w:val="000000"/>
          <w:lang w:val="es-AR" w:eastAsia="es-AR" w:bidi="es-AR"/>
        </w:rPr>
        <w:t xml:space="preserve">hasta el momento del efectivo pago. </w:t>
      </w:r>
      <w:r>
        <w:rPr>
          <w:lang w:val="es-AR" w:eastAsia="es-AR" w:bidi="es-AR"/>
        </w:rPr>
        <w:t xml:space="preserve">(Cf. causas C. 101.774, "Ponce" y L. 94.446, "Ginossi" (ambas sents. de 21-X-2009) y C. 119.176, "Cabrera" (sent. de 15-VI-2016, y arts. 1737, 1738, 1739, 1740, 1744 y 1746 y Ccs. del Cgo. Civil, art. 165 del C.P.C. y C.).-</w:t>
      </w:r>
    </w:p>
    <w:p>
      <w:pPr>
        <w:pStyle w:val="[Normal]"/>
        <w:spacing w:line="360" w:lineRule="auto"/>
        <w:ind w:firstLine="1134"/>
        <w:jc w:val="both"/>
        <w:rPr>
          <w:lang w:val="es-AR" w:eastAsia="es-AR" w:bidi="es-AR"/>
        </w:rPr>
      </w:pPr>
      <w:r>
        <w:rPr>
          <w:lang w:val="es-AR" w:eastAsia="es-AR" w:bidi="es-AR"/>
        </w:rPr>
        <w:t xml:space="preserve">f) Costas:</w:t>
      </w:r>
    </w:p>
    <w:p>
      <w:pPr>
        <w:pStyle w:val="[Normal]"/>
        <w:spacing w:line="360" w:lineRule="auto"/>
        <w:ind w:firstLine="1134"/>
        <w:jc w:val="both"/>
        <w:rPr>
          <w:lang w:val="es-AR" w:eastAsia="es-AR" w:bidi="es-AR"/>
        </w:rPr>
      </w:pPr>
      <w:r>
        <w:rPr>
          <w:lang w:val="es-AR" w:eastAsia="es-AR" w:bidi="es-AR"/>
        </w:rPr>
        <w:t xml:space="preserve">En cuanto a las costas, corresponde imponer las de primera instancia a la demandada, pues en definitiva ha prosperado la acción, aunque con la distribución de responsabilidad establecida precedentemente. Las de Alzada, atento al resultado del recurso, se distribuirán en un sesenta por ciento (60%) a cargo de la actora y en un cuarenta por ciento (40%) a cargo de la demandada (arts. 68, segundo párrafo, y 69 del C.P.C.C.).-</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Hacer lugar parcialmente al recurso de apelación deducido por la parte actora y en su mérito revocar el fallo atacado. En consecuencia, acoger la demanda interpuesta por Martín Andrés Pablo distribuyendo la responsabilidad en el hecho la que se fija en un 60% a cargo de la actora y un 40% a cargo de la demandada por lo cual los Sres. Walter Germán Diaz y Francisco Ricardo Diaz y la citada en garantía deberán responder en esa proporción a las sumas indemnizatorias determinadas en los considerando del presente, con más los intereses allí establecidos.-</w:t>
      </w:r>
    </w:p>
    <w:p>
      <w:pPr>
        <w:pStyle w:val="[Normal]"/>
        <w:spacing w:line="360" w:lineRule="auto"/>
        <w:ind w:firstLine="1134"/>
        <w:jc w:val="both"/>
        <w:rPr>
          <w:lang w:val="es-AR" w:eastAsia="es-AR" w:bidi="es-AR"/>
        </w:rPr>
      </w:pPr>
      <w:r>
        <w:rPr>
          <w:lang w:val="es-AR" w:eastAsia="es-AR" w:bidi="es-AR"/>
        </w:rPr>
        <w:t xml:space="preserve">2) Imponer las costas de primera instancia a cargo de la parte demandada y las de Alzada se distribuirán en un sesenta por ciento (60%) a cargo de la actora y en un cuarenta por ciento (40%) a cargo de la  demandada (arts. 68, segundo párrafo y 69 CPCC).-</w:t>
      </w:r>
    </w:p>
    <w:p>
      <w:pPr>
        <w:pStyle w:val="[Normal]"/>
        <w:spacing w:line="360" w:lineRule="auto"/>
        <w:ind w:firstLine="1134"/>
        <w:jc w:val="both"/>
        <w:rPr>
          <w:lang w:val="es-AR" w:eastAsia="es-AR" w:bidi="es-AR"/>
        </w:rPr>
      </w:pPr>
      <w:r>
        <w:rPr>
          <w:lang w:val="es-AR" w:eastAsia="es-AR" w:bidi="es-AR"/>
        </w:rPr>
        <w:t xml:space="preserve">3) Diferir la regulación de honorarios hasta tanto obre en primera instancia base firme para ello (art. 14 de la Ley 14.967).-</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1) Hacer lugar parcialmente al recurso de apelación deducido por la parte actora y en su mérito revocar el fallo atacado. En consecuencia, acoger la demanda interpuesta por Martín Andrés Pablo distribuyendo la responsabilidad en el hecho la que se fija en un 60% a cargo de la actora y un 40% a cargo de la demandada por lo cual los Sres. Walter Germán Diaz y Francisco Ricardo Diaz y la citada en garantía deberán responder en esa proporción a las sumas indemnizatorias determinadas en los considerandos del presente, con más los intereses allí establecidos.-</w:t>
      </w:r>
    </w:p>
    <w:p>
      <w:pPr>
        <w:pStyle w:val="[Normal]"/>
        <w:spacing w:line="360" w:lineRule="auto"/>
        <w:ind w:firstLine="1134"/>
        <w:jc w:val="both"/>
        <w:rPr>
          <w:lang w:val="es-AR" w:eastAsia="es-AR" w:bidi="es-AR"/>
        </w:rPr>
      </w:pPr>
      <w:r>
        <w:rPr>
          <w:lang w:val="es-AR" w:eastAsia="es-AR" w:bidi="es-AR"/>
        </w:rPr>
        <w:t xml:space="preserve">2) Imponer las costas de primera instancia a cargo de la parte demandada y las de Alzada se distribuirán en un sesenta por ciento (60%) a cargo de la actora y en un cuarenta por ciento (40%) a cargo de la  demandada (arts. 68, segundo párrafo y 69 CPCC).-</w:t>
      </w:r>
    </w:p>
    <w:p>
      <w:pPr>
        <w:pStyle w:val="[Normal]"/>
        <w:spacing w:line="360" w:lineRule="auto"/>
        <w:ind w:firstLine="1134"/>
        <w:jc w:val="both"/>
        <w:rPr>
          <w:lang w:val="es-AR" w:eastAsia="es-AR" w:bidi="es-AR"/>
        </w:rPr>
      </w:pPr>
      <w:r>
        <w:rPr>
          <w:lang w:val="es-AR" w:eastAsia="es-AR" w:bidi="es-AR"/>
        </w:rPr>
        <w:t xml:space="preserve">3) Diferir la regulación de honorarios hasta tanto obre en primera instancia base firme para ello (art. 14 de la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11:20:23 -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11:21:11 -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11:42:16 - TROTTA Alfonso Bartolome - AUXILIAR LETRADO DE CÁMARA DE APELACIÓN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‰8:")è&amp;‚l":Š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242602090006987602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11:42:41 hs. bajo el número RS-151-2026 por TROTTA ALFONSO BARTOLOME.</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