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bin" ContentType="application/vnd.openxmlformats-officedocument.oleObject"/>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wpc="http://schemas.microsoft.com/office/word/2010/wordprocessingCanvas" xmlns:wpg="http://schemas.microsoft.com/office/word/2010/wordprocessingGroup" xmlns:wps="http://schemas.microsoft.com/office/word/2010/wordprocessingShape" xmlns:mc="http://schemas.openxmlformats.org/markup-compatibility/2006" xmlns:w14="http://schemas.microsoft.com/office/word/2010/wordml" xmlns:w15="http://schemas.microsoft.com/office/word/2012/wordml" xmlns:tx19="http://schemas.textcontrol.com/tx/1900" xmlns:tx23="http://schemas.textcontrol.com/tx/2300" mc:Ignorable="w14 w15 tx19 tx23">
  <w:body>
    <w:p>
      <w:pPr>
        <w:pStyle w:val="[Normal]"/>
        <w:spacing w:line="360" w:lineRule="auto"/>
        <w:ind w:firstLine="1134"/>
        <w:jc w:val="both"/>
        <w:rPr>
          <w:lang w:val="es-AR" w:eastAsia="es-AR" w:bidi="es-AR"/>
        </w:rPr>
      </w:pPr>
      <w:r>
        <w:rPr>
          <w:lang w:val="es-AR" w:eastAsia="es-AR" w:bidi="es-AR"/>
        </w:rPr>
        <w:t xml:space="preserve"> En la ciudad de Pergamino, reunidos en Acuerdo Ordinario los Sres. Jueces de la Excma. Cámara de Apelación en lo Civil y Comercial del Departamento Judicial Pergamino, para dictar sentencia en la causa N° </w:t>
      </w:r>
      <w:r>
        <w:rPr>
          <w:b/>
          <w:color w:val="000000"/>
          <w:lang w:val="es-AR" w:eastAsia="es-AR" w:bidi="es-AR"/>
        </w:rPr>
        <w:t xml:space="preserve">6093-26</w:t>
      </w:r>
      <w:r>
        <w:rPr>
          <w:lang w:val="es-AR" w:eastAsia="es-AR" w:bidi="es-AR"/>
        </w:rPr>
        <w:t xml:space="preserve"> caratulada </w:t>
      </w:r>
      <w:r>
        <w:rPr>
          <w:b/>
          <w:lang w:val="es-AR" w:eastAsia="es-AR" w:bidi="es-AR"/>
        </w:rPr>
        <w:t xml:space="preserve">"</w:t>
      </w:r>
      <w:r>
        <w:rPr>
          <w:b/>
          <w:color w:val="000000"/>
          <w:lang w:val="es-AR" w:eastAsia="es-AR" w:bidi="es-AR"/>
        </w:rPr>
        <w:t xml:space="preserve">CANULLO JORGE OSCAR C/ MARTINEZ FACUNDO S/ DAÑOS Y PERJ.AUTOM. C/LES. O MUERTE (EXC.ESTADO)</w:t>
      </w:r>
      <w:r>
        <w:rPr>
          <w:b/>
          <w:lang w:val="es-AR" w:eastAsia="es-AR" w:bidi="es-AR"/>
        </w:rPr>
        <w:t xml:space="preserve">"</w:t>
      </w:r>
      <w:r>
        <w:rPr>
          <w:lang w:val="es-AR" w:eastAsia="es-AR" w:bidi="es-AR"/>
        </w:rPr>
        <w:t xml:space="preserve">, Expte. </w:t>
      </w:r>
      <w:r>
        <w:rPr>
          <w:color w:val="000000"/>
          <w:lang w:val="es-AR" w:eastAsia="es-AR" w:bidi="es-AR"/>
        </w:rPr>
        <w:t xml:space="preserve">N° 89.247 </w:t>
      </w:r>
      <w:r>
        <w:rPr>
          <w:lang w:val="es-AR" w:eastAsia="es-AR" w:bidi="es-AR"/>
        </w:rPr>
        <w:t xml:space="preserve">del Juzgado Civil y Comercial N° 1</w:t>
      </w:r>
      <w:r>
        <w:rPr>
          <w:color w:val="0000FF"/>
          <w:lang w:val="es-AR" w:eastAsia="es-AR" w:bidi="es-AR"/>
        </w:rPr>
        <w:t xml:space="preserve">,</w:t>
      </w:r>
      <w:r>
        <w:rPr>
          <w:lang w:val="es-AR" w:eastAsia="es-AR" w:bidi="es-AR"/>
        </w:rPr>
        <w:t xml:space="preserve"> se practicó el sorteo de ley que determinó que la votación debía efectuarse en el siguiente orden:  Roberto Degleue y Graciela Scaraffia</w:t>
      </w:r>
      <w:r>
        <w:rPr>
          <w:color w:val="0000FF"/>
          <w:lang w:val="es-AR" w:eastAsia="es-AR" w:bidi="es-AR"/>
        </w:rPr>
        <w:t xml:space="preserve">,</w:t>
      </w:r>
      <w:r>
        <w:rPr>
          <w:lang w:val="es-AR" w:eastAsia="es-AR" w:bidi="es-AR"/>
        </w:rPr>
        <w:t xml:space="preserve"> y estudiados los autos se resolvió plantear y votar las siguientes: </w:t>
      </w:r>
    </w:p>
    <w:p>
      <w:pPr>
        <w:pStyle w:val="[Normal]"/>
        <w:spacing w:line="360" w:lineRule="auto"/>
        <w:ind w:firstLine="1134"/>
        <w:jc w:val="both"/>
        <w:rPr>
          <w:lang w:val="es-AR" w:eastAsia="es-AR" w:bidi="es-AR"/>
        </w:rPr>
      </w:pPr>
      <w:r>
        <w:rPr>
          <w:b/>
          <w:lang w:val="es-AR" w:eastAsia="es-AR" w:bidi="es-AR"/>
        </w:rPr>
        <w:t xml:space="preserve">C U E S T I O N E S</w:t>
      </w:r>
      <w:r>
        <w:rPr>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I) ¿Se ajusta a derecho la sentencia apelada?.</w:t>
      </w:r>
    </w:p>
    <w:p>
      <w:pPr>
        <w:pStyle w:val="[Normal]"/>
        <w:spacing w:line="360" w:lineRule="auto"/>
        <w:ind w:firstLine="1134"/>
        <w:jc w:val="both"/>
        <w:rPr>
          <w:lang w:val="es-AR" w:eastAsia="es-AR" w:bidi="es-AR"/>
        </w:rPr>
      </w:pPr>
      <w:r>
        <w:rPr>
          <w:lang w:val="es-AR" w:eastAsia="es-AR" w:bidi="es-AR"/>
        </w:rPr>
        <w:t xml:space="preserve">II) ¿Qué pronunciamiento corresponde dictar?.</w:t>
      </w:r>
    </w:p>
    <w:p>
      <w:pPr>
        <w:pStyle w:val="[Normal]"/>
        <w:spacing w:line="360" w:lineRule="auto"/>
        <w:ind w:firstLine="1134"/>
        <w:jc w:val="both"/>
        <w:rPr>
          <w:lang w:val="es-AR" w:eastAsia="es-AR" w:bidi="es-AR"/>
        </w:rPr>
      </w:pPr>
      <w:r>
        <w:rPr>
          <w:lang w:val="es-AR" w:eastAsia="es-AR" w:bidi="es-AR"/>
        </w:rPr>
        <w:t xml:space="preserve">A la primera cuestión el señor Juez Roberto Degleue  dijo:</w:t>
      </w:r>
    </w:p>
    <w:p>
      <w:pPr>
        <w:pStyle w:val="[Normal]"/>
        <w:spacing w:line="360" w:lineRule="auto"/>
        <w:ind w:firstLine="1134"/>
        <w:jc w:val="both"/>
        <w:rPr>
          <w:lang w:val="es-AR" w:eastAsia="es-AR" w:bidi="es-AR"/>
        </w:rPr>
      </w:pPr>
      <w:r>
        <w:rPr>
          <w:lang w:val="es-AR" w:eastAsia="es-AR" w:bidi="es-AR"/>
        </w:rPr>
        <w:t xml:space="preserve">La señora Jueza de la anterior sede hizo lugar a la demanda instaurada, condenando en consecuencia al demandado y a la citada en garantía, a abonar al actor de autos la suma que resulte de aplicar el procedimiento de determinación fijado, con más sus intereses. Aplicó las costas a la parte demandada y a la citada en garantía vencidas y difirió la regulación de honorarios de  los  letrados intervinientes  y  de  los  peritos.</w:t>
      </w:r>
    </w:p>
    <w:p>
      <w:pPr>
        <w:pStyle w:val="[Normal]"/>
        <w:spacing w:line="360" w:lineRule="auto"/>
        <w:ind w:firstLine="1134"/>
        <w:jc w:val="both"/>
        <w:rPr>
          <w:lang w:val="es-AR" w:eastAsia="es-AR" w:bidi="es-AR"/>
        </w:rPr>
      </w:pPr>
      <w:r>
        <w:rPr>
          <w:lang w:val="es-AR" w:eastAsia="es-AR" w:bidi="es-AR"/>
        </w:rPr>
        <w:t xml:space="preserve">Disconforme con lo decidido apeló el 27-3-2026 el apoderado de la citada en garantía actora, siendo concedido el mismo día libremente.</w:t>
      </w:r>
    </w:p>
    <w:p>
      <w:pPr>
        <w:pStyle w:val="[Normal]"/>
        <w:spacing w:line="360" w:lineRule="auto"/>
        <w:ind w:firstLine="1134"/>
        <w:jc w:val="both"/>
        <w:rPr>
          <w:lang w:val="es-AR" w:eastAsia="es-AR" w:bidi="es-AR"/>
        </w:rPr>
      </w:pPr>
      <w:r>
        <w:rPr>
          <w:lang w:val="es-AR" w:eastAsia="es-AR" w:bidi="es-AR"/>
        </w:rPr>
        <w:t xml:space="preserve">Ingresados los autos a este organismo el 18-5-2026, ordenándose exprese agravios la recurrente, haciéndolo el 29-5-2026, conferido el traslado no es contestado por la contraparte, dictándose el llamamiento de autos para sentencia el 18-6-2026, providencia que estando firme, deja la causa en condiciones de ser fallada.</w:t>
      </w:r>
    </w:p>
    <w:p>
      <w:pPr>
        <w:pStyle w:val="[Normal]"/>
        <w:spacing w:line="360" w:lineRule="auto"/>
        <w:ind w:firstLine="1134"/>
        <w:jc w:val="both"/>
        <w:rPr>
          <w:lang w:val="es-AR" w:eastAsia="es-AR" w:bidi="es-AR"/>
        </w:rPr>
      </w:pPr>
      <w:r>
        <w:rPr>
          <w:lang w:val="es-AR" w:eastAsia="es-AR" w:bidi="es-AR"/>
        </w:rPr>
        <w:t xml:space="preserve">La apelante se agravia de la sentencia que hizo lugar a la demanda, sosteniendo que el pronunciamiento resulta arbitrario, contrario a las constancias de la causa y violatorio de las reglas de distribución de la carga de la prueba y de valoración probatoria. </w:t>
      </w:r>
    </w:p>
    <w:p>
      <w:pPr>
        <w:pStyle w:val="[Normal]"/>
        <w:spacing w:line="360" w:lineRule="auto"/>
        <w:ind w:firstLine="1134"/>
        <w:jc w:val="both"/>
        <w:rPr>
          <w:lang w:val="es-AR" w:eastAsia="es-AR" w:bidi="es-AR"/>
        </w:rPr>
      </w:pPr>
      <w:r>
        <w:rPr>
          <w:lang w:val="es-AR" w:eastAsia="es-AR" w:bidi="es-AR"/>
        </w:rPr>
        <w:t xml:space="preserve">Cuestiona en primer término que la magistrada haya tenido por acreditada la existencia del accidente y la responsabilidad de su parte a partir de la consideración de que la demandada, al limitarse a negar los hechos invocados por la actora sin brindar una versión alternativa, habría incumplido su carga procesal. Afirma que dicha conclusión vulnera el art. 375 del C.P.C. y C., pues correspondía a la actora acreditar los hechos constitutivos de su pretensión, entre ellos, la existencia del accidente, su mecánica, la intervención causal del vehículo demandado y los daños derivados del hecho.</w:t>
      </w:r>
    </w:p>
    <w:p>
      <w:pPr>
        <w:pStyle w:val="[Normal]"/>
        <w:spacing w:line="360" w:lineRule="auto"/>
        <w:ind w:firstLine="1134"/>
        <w:jc w:val="both"/>
        <w:rPr>
          <w:lang w:val="es-AR" w:eastAsia="es-AR" w:bidi="es-AR"/>
        </w:rPr>
      </w:pPr>
      <w:r>
        <w:rPr>
          <w:lang w:val="es-AR" w:eastAsia="es-AR" w:bidi="es-AR"/>
        </w:rPr>
        <w:t xml:space="preserve">Sostiene que la negativa formulada al contestar la demanda no fue genérica, sino concreta y circunstanciada, habiéndose desconocido expresamente la existencia del accidente, la ubicación de los vehículos, la maniobra atribuida al demandado y los daños denunciados. En ese sentido, afirma que quien niega la existencia de un hecho no puede ser obligado a acreditar su inexistencia, pues ello importaría invertir ilegítimamente el principio general de distribución de la carga probatoria y trasladarle una carga de imposible cumplimiento, que califica como “prueba diabólica”. Reitera que la contestación de demanda cumplió con las exigencias del art. 354 inc. 2 del C.P.C. y C., en tanto la defensa articulada se sustentó precisamente en la inexistencia del hecho invocado por la actora.</w:t>
      </w:r>
    </w:p>
    <w:p>
      <w:pPr>
        <w:pStyle w:val="[Normal]"/>
        <w:spacing w:line="360" w:lineRule="auto"/>
        <w:ind w:firstLine="1134"/>
        <w:jc w:val="both"/>
        <w:rPr>
          <w:lang w:val="es-AR" w:eastAsia="es-AR" w:bidi="es-AR"/>
        </w:rPr>
      </w:pPr>
      <w:r>
        <w:rPr>
          <w:lang w:val="es-AR" w:eastAsia="es-AR" w:bidi="es-AR"/>
        </w:rPr>
        <w:t xml:space="preserve">Asimismo, cuestiona el valor atribuido al testimonio de Lorena Viviana Nacura. Señala que la propia testigo reconoció encontrarse comprendida en las generales de la ley por ser cuñada del actor y sostiene que, por ello, su declaración se encontraba alcanzada por la limitación prevista en el art. 425 del C.P.C. y C. o, subsidiariamente, que debió ser ponderada con criterio restrictivo en razón de su vínculo familiar con la parte actora. Destaca que se trató de la única prueba testimonial producida y que su declaración careció de respaldo en otros elementos objetivos que permitieran corroborar la mecánica del accidente. Invoca el principio de sana crítica consagrado por el art. 384 del C.P.C. y C. y afirma que la sentencia otorgó valor decisivo a un testimonio que considera parcial e interesado.</w:t>
      </w:r>
    </w:p>
    <w:p>
      <w:pPr>
        <w:pStyle w:val="[Normal]"/>
        <w:spacing w:line="360" w:lineRule="auto"/>
        <w:ind w:firstLine="1134"/>
        <w:jc w:val="both"/>
        <w:rPr>
          <w:lang w:val="es-AR" w:eastAsia="es-AR" w:bidi="es-AR"/>
        </w:rPr>
      </w:pPr>
      <w:r>
        <w:rPr>
          <w:lang w:val="es-AR" w:eastAsia="es-AR" w:bidi="es-AR"/>
        </w:rPr>
        <w:t xml:space="preserve">La recurrente también cuestiona la valoración efectuada respecto de la pericia mecánica. Expone que el experto manifestó que los elementos incorporados a la causa resultaban insuficientes para determinar los daños de los vehículos y que no contaba con información técnica objetiva que permitiera establecer la mecánica del accidente. Destaca, en tal sentido, la inexistencia de otros elementos de corroboración, tales como actuación policial, inspección técnica, reconstrucción accidentológica o análisis de compatibilidad de daños. Afirma que, pese a ello, la sentencia tuvo por acreditado que el demandado realizó una maniobra de marcha atrás y colisionó al vehículo de la actora, conclusión que considera carente de sustento probatorio y contraria a las conclusiones del dictamen pericial.</w:t>
      </w:r>
    </w:p>
    <w:p>
      <w:pPr>
        <w:pStyle w:val="[Normal]"/>
        <w:spacing w:line="360" w:lineRule="auto"/>
        <w:ind w:firstLine="1134"/>
        <w:jc w:val="both"/>
        <w:rPr>
          <w:lang w:val="es-AR" w:eastAsia="es-AR" w:bidi="es-AR"/>
        </w:rPr>
      </w:pPr>
      <w:r>
        <w:rPr>
          <w:lang w:val="es-AR" w:eastAsia="es-AR" w:bidi="es-AR"/>
        </w:rPr>
        <w:t xml:space="preserve">Por otra parte, controvierte la procedencia y cuantificación de los daños reconocidos en la sentencia. Señala que el pronunciamiento tomó como referencia un presupuesto acompañado unilateralmente por la actora, documental que fue oportunamente desconocida y que, según sostiene, no fue corroborada mediante otros medios de prueba, tales como reconocimiento, prueba informativa o ratificación de terceros. Afirma que el perito tampoco confirmó la existencia de los daños reclamados, sino que señaló la insuficiencia de los elementos técnicos disponibles y la posible ausencia de una parrilla frontal. En consecuencia, sostiene que no fueron acreditadas debidamente la existencia, entidad, extensión, costo de reparación ni relación causal de los daños pretendidos, por lo que la condena se habría sustentado, en lo sustancial, en las manifestaciones unilaterales de la actora.</w:t>
      </w:r>
    </w:p>
    <w:p>
      <w:pPr>
        <w:pStyle w:val="[Normal]"/>
        <w:spacing w:line="360" w:lineRule="auto"/>
        <w:ind w:firstLine="1134"/>
        <w:jc w:val="both"/>
        <w:rPr>
          <w:lang w:val="es-AR" w:eastAsia="es-AR" w:bidi="es-AR"/>
        </w:rPr>
      </w:pPr>
      <w:r>
        <w:rPr>
          <w:lang w:val="es-AR" w:eastAsia="es-AR" w:bidi="es-AR"/>
        </w:rPr>
        <w:t xml:space="preserve">Finalmente, cuestiona la conclusión relativa a la existencia del nexo causal. Alega que dicha afirmación no resulta de una valoración integral de la prueba, sino de una conclusión dogmática, en tanto a su entender no se acreditaron de manera suficiente la mecánica del accidente, los daños ni su correspondencia con el hecho denunciado. Sostiene que el vínculo causal no puede presumirse automáticamente, sino que debe encontrarse demostrado mediante elementos objetivos, circunstancia que afirma no se verificó en autos.</w:t>
      </w:r>
    </w:p>
    <w:p>
      <w:pPr>
        <w:pStyle w:val="[Normal]"/>
        <w:spacing w:line="360" w:lineRule="auto"/>
        <w:ind w:firstLine="1134"/>
        <w:jc w:val="both"/>
        <w:rPr>
          <w:lang w:val="es-AR" w:eastAsia="es-AR" w:bidi="es-AR"/>
        </w:rPr>
      </w:pPr>
      <w:r>
        <w:rPr>
          <w:lang w:val="es-AR" w:eastAsia="es-AR" w:bidi="es-AR"/>
        </w:rPr>
        <w:t xml:space="preserve">Peticiona se haga lugar al recurso de apelación, se revoque íntegramente la sentencia y se rechace la demanda, con costas a la actora. Subsidiariamente, para el supuesto de confirmarse la responsabilidad atribuida, peticiona que se deje sin efecto la condena respecto de los daños y su cuantificación, por considerar que no fueron acreditados suficientemente.</w:t>
      </w:r>
    </w:p>
    <w:p>
      <w:pPr>
        <w:pStyle w:val="[Normal]"/>
        <w:spacing w:line="360" w:lineRule="auto"/>
        <w:ind w:firstLine="1134"/>
        <w:jc w:val="both"/>
        <w:rPr>
          <w:lang w:val="es-AR" w:eastAsia="es-AR" w:bidi="es-AR"/>
        </w:rPr>
      </w:pPr>
      <w:r>
        <w:rPr>
          <w:lang w:val="es-AR" w:eastAsia="es-AR" w:bidi="es-AR"/>
        </w:rPr>
        <w:t xml:space="preserve">Entrando a resolver, cabe partir acerca de que la sentencia de primera instancia hizo lugar a la demanda promovida  y extendió la condena a la citada en garantía, teniendo por acreditado que el día 15 de enero de 2023, aproximadamente a las 23:00 horas, mientras el vehículo del actor se encontraba estacionado, el automotor conducido por el demandado realizó una maniobra de marcha atrás e impactó con su parte trasera contra el frente del rodado del accionante.</w:t>
      </w:r>
    </w:p>
    <w:p>
      <w:pPr>
        <w:pStyle w:val="[Normal]"/>
        <w:spacing w:line="360" w:lineRule="auto"/>
        <w:ind w:firstLine="1134"/>
        <w:jc w:val="both"/>
        <w:rPr>
          <w:lang w:val="es-AR" w:eastAsia="es-AR" w:bidi="es-AR"/>
        </w:rPr>
      </w:pPr>
      <w:r>
        <w:rPr>
          <w:lang w:val="es-AR" w:eastAsia="es-AR" w:bidi="es-AR"/>
        </w:rPr>
        <w:t xml:space="preserve">La apelante cuestiona ese pronunciamiento en varios aspectos que, por su estrecha vinculación, corresponde abordar conjuntamente, sin perjuicio del tratamiento autónomo del agravio referido a la acreditación y extensión de los daños.</w:t>
      </w:r>
    </w:p>
    <w:p>
      <w:pPr>
        <w:pStyle w:val="[Normal]"/>
        <w:spacing w:line="360" w:lineRule="auto"/>
        <w:ind w:firstLine="1134"/>
        <w:jc w:val="both"/>
        <w:rPr>
          <w:lang w:val="es-AR" w:eastAsia="es-AR" w:bidi="es-AR"/>
        </w:rPr>
      </w:pPr>
      <w:r>
        <w:rPr>
          <w:lang w:val="es-AR" w:eastAsia="es-AR" w:bidi="es-AR"/>
        </w:rPr>
        <w:t xml:space="preserve">En lo relativo a la carga de la prueba y la alegación de un hecho negativo, se agravia la recurrente de que la magistrada de grado haya sostenido que quien niega los hechos debe respaldar su negativa con pruebas o argumentos jurídicos y que, al no haber acompañado un relato alternativo, correspondía tener por acreditados los hechos invocados por la parte actora. Afirma que ello importa una indebida inversión de la carga probatoria y una exigencia de acreditar un hecho negativo.</w:t>
      </w:r>
    </w:p>
    <w:p>
      <w:pPr>
        <w:pStyle w:val="[Normal]"/>
        <w:spacing w:line="360" w:lineRule="auto"/>
        <w:ind w:firstLine="1134"/>
        <w:jc w:val="both"/>
        <w:rPr>
          <w:lang w:val="es-AR" w:eastAsia="es-AR" w:bidi="es-AR"/>
        </w:rPr>
      </w:pPr>
      <w:r>
        <w:rPr>
          <w:lang w:val="es-AR" w:eastAsia="es-AR" w:bidi="es-AR"/>
        </w:rPr>
        <w:t xml:space="preserve">El agravio resulta atendible en cuanto cuestiona esa concreta fundamentación de la sentencia, aunque no por ello ha de prosperar el recurso.</w:t>
      </w:r>
    </w:p>
    <w:p>
      <w:pPr>
        <w:pStyle w:val="[Normal]"/>
        <w:spacing w:line="360" w:lineRule="auto"/>
        <w:ind w:firstLine="1134"/>
        <w:jc w:val="both"/>
        <w:rPr>
          <w:lang w:val="es-AR" w:eastAsia="es-AR" w:bidi="es-AR"/>
        </w:rPr>
      </w:pPr>
      <w:r>
        <w:rPr>
          <w:lang w:val="es-AR" w:eastAsia="es-AR" w:bidi="es-AR"/>
        </w:rPr>
        <w:t xml:space="preserve">En efecto, la carga de demostrar los hechos constitutivos de la pretensión recae sobre quien los afirma. En consecuencia, no puede hacerse derivar la acreditación del accidente, su mecánica, la intervención causal del vehículo demandado ni los daños invocados de la sola circunstancia de que la parte demandada se haya limitado a negar los hechos de la demanda.</w:t>
      </w:r>
    </w:p>
    <w:p>
      <w:pPr>
        <w:pStyle w:val="[Normal]"/>
        <w:spacing w:line="360" w:lineRule="auto"/>
        <w:ind w:firstLine="1134"/>
        <w:jc w:val="both"/>
        <w:rPr>
          <w:lang w:val="es-AR" w:eastAsia="es-AR" w:bidi="es-AR"/>
        </w:rPr>
      </w:pPr>
      <w:r>
        <w:rPr>
          <w:lang w:val="es-AR" w:eastAsia="es-AR" w:bidi="es-AR"/>
        </w:rPr>
        <w:t xml:space="preserve">Tampoco resulta jurídicamente exigible a quien afirma la inexistencia del hecho que produzca una demostración de imposible o irrazonable realización, ni puede presumirse la veracidad de los hechos constitutivos de la pretensión a partir de una supuesta insuficiencia de la negativa defensiva.</w:t>
      </w:r>
    </w:p>
    <w:p>
      <w:pPr>
        <w:pStyle w:val="[Normal]"/>
        <w:spacing w:line="360" w:lineRule="auto"/>
        <w:ind w:firstLine="1134"/>
        <w:jc w:val="both"/>
        <w:rPr>
          <w:lang w:val="es-AR" w:eastAsia="es-AR" w:bidi="es-AR"/>
        </w:rPr>
      </w:pPr>
      <w:r>
        <w:rPr>
          <w:lang w:val="es-AR" w:eastAsia="es-AR" w:bidi="es-AR"/>
        </w:rPr>
        <w:t xml:space="preserve">Desde esta perspectiva, cabe efectuar una precisión respecto de la motivación del pronunciamiento apelado: la circunstancia de que la demandada no haya ofrecido un relato alternativo no releva a la parte actora de su carga probatoria.</w:t>
      </w:r>
    </w:p>
    <w:p>
      <w:pPr>
        <w:pStyle w:val="[Normal]"/>
        <w:spacing w:line="360" w:lineRule="auto"/>
        <w:ind w:firstLine="1134"/>
        <w:jc w:val="both"/>
        <w:rPr>
          <w:lang w:val="es-AR" w:eastAsia="es-AR" w:bidi="es-AR"/>
        </w:rPr>
      </w:pPr>
      <w:r>
        <w:rPr>
          <w:lang w:val="es-AR" w:eastAsia="es-AR" w:bidi="es-AR"/>
        </w:rPr>
        <w:t xml:space="preserve">Sin embargo, de ello no se sigue que la sentencia deba ser revocada, pues la conclusión a la que arribó la magistrada acerca de la ocurrencia del hecho no descansa exclusivamente en la conducta procesal asumida por la demandada, sino que por el contrario, del propio pronunciamiento surge que fue ponderada la declaración testimonial de Lorena Viviana Nacura, quien manifestó haber estado presente al momento del accidente y relató que, luego de estacionarse el vehículo del actor, el automóvil que se encontraba delante hizo marcha atrás y colisionó contra aquél; también señaló haber observado los daños producidos en la parte delantera del rodado.</w:t>
      </w:r>
    </w:p>
    <w:p>
      <w:pPr>
        <w:pStyle w:val="[Normal]"/>
        <w:spacing w:line="360" w:lineRule="auto"/>
        <w:ind w:firstLine="1134"/>
        <w:jc w:val="both"/>
        <w:rPr>
          <w:lang w:val="es-AR" w:eastAsia="es-AR" w:bidi="es-AR"/>
        </w:rPr>
      </w:pPr>
      <w:r>
        <w:rPr>
          <w:lang w:val="es-AR" w:eastAsia="es-AR" w:bidi="es-AR"/>
        </w:rPr>
        <w:t xml:space="preserve">Por ello, aun cuando deba descartarse como fundamento autónomo la afirmación según la cual la mera negativa de la demandada permitiría tener por acreditados los hechos, esa rectificación argumental no conduce a alterar la solución del pleito, desde que la existencia del hecho debe ser examinada a la luz del conjunto probatorio producido.</w:t>
      </w:r>
    </w:p>
    <w:p>
      <w:pPr>
        <w:pStyle w:val="[Normal]"/>
        <w:spacing w:line="360" w:lineRule="auto"/>
        <w:ind w:firstLine="1134"/>
        <w:jc w:val="both"/>
        <w:rPr>
          <w:lang w:val="es-AR" w:eastAsia="es-AR" w:bidi="es-AR"/>
        </w:rPr>
      </w:pPr>
      <w:r>
        <w:rPr>
          <w:lang w:val="es-AR" w:eastAsia="es-AR" w:bidi="es-AR"/>
        </w:rPr>
        <w:t xml:space="preserve">En consecuencia, corresponde rechazar este agravio en cuanto persigue la revocación de la sentencia por una supuesta inversión de la carga de la prueba, sin perjuicio de dejar establecido que la fundamentación referida a la insuficiencia de la negativa defensiva no constituye, por sí misma, sustento bastante de la condena.</w:t>
      </w:r>
    </w:p>
    <w:p>
      <w:pPr>
        <w:pStyle w:val="[Normal]"/>
        <w:spacing w:line="360" w:lineRule="auto"/>
        <w:ind w:firstLine="1134"/>
        <w:jc w:val="both"/>
        <w:rPr>
          <w:lang w:val="es-AR" w:eastAsia="es-AR" w:bidi="es-AR"/>
        </w:rPr>
      </w:pPr>
      <w:r>
        <w:rPr>
          <w:lang w:val="es-AR" w:eastAsia="es-AR" w:bidi="es-AR"/>
        </w:rPr>
        <w:t xml:space="preserve">Los agravios identificados por la recurrente como relativos a la testimonial prestada por la ya mencionada Lorena Viviana Nacura, la valoración de la pericia mecánica y a la conclusión alcanzada respecto del nexo causal se encuentran íntimamente relacionados y por ello, corresponde tratarlos en conjunto.</w:t>
      </w:r>
    </w:p>
    <w:p>
      <w:pPr>
        <w:pStyle w:val="[Normal]"/>
        <w:spacing w:line="360" w:lineRule="auto"/>
        <w:ind w:firstLine="1134"/>
        <w:jc w:val="both"/>
        <w:rPr>
          <w:lang w:val="es-AR" w:eastAsia="es-AR" w:bidi="es-AR"/>
        </w:rPr>
      </w:pPr>
      <w:r>
        <w:rPr>
          <w:lang w:val="es-AR" w:eastAsia="es-AR" w:bidi="es-AR"/>
        </w:rPr>
        <w:t xml:space="preserve">Sostiene la apelante que la única testigo es cuñada del actor, que se encuentra comprendida en las generales de la ley y que su declaración no podía ser considerada suficiente para acreditar el accidente. Afirma además, que la pericia mecánica habría sido concluyente en cuanto a la imposibilidad de determinar la mecánica del hecho y que no existieron elementos objetivos independientes, como constatación policial, reconstrucción accidentológica o estudio de compatibilidad de daños, que permitieran tener por acreditada la secuencia invocada en la demanda.</w:t>
      </w:r>
    </w:p>
    <w:p>
      <w:pPr>
        <w:pStyle w:val="[Normal]"/>
        <w:spacing w:line="360" w:lineRule="auto"/>
        <w:ind w:firstLine="1134"/>
        <w:jc w:val="both"/>
        <w:rPr>
          <w:lang w:val="es-AR" w:eastAsia="es-AR" w:bidi="es-AR"/>
        </w:rPr>
      </w:pPr>
      <w:r>
        <w:rPr>
          <w:lang w:val="es-AR" w:eastAsia="es-AR" w:bidi="es-AR"/>
        </w:rPr>
        <w:t xml:space="preserve">El planteo no logra demostrar, sin embargo, que la valoración efectuada por la sentenciante resulte arbitraria ni que la prueba testimonial deba ser lisa y llanamente descartada.</w:t>
      </w:r>
    </w:p>
    <w:p>
      <w:pPr>
        <w:pStyle w:val="[Normal]"/>
        <w:spacing w:line="360" w:lineRule="auto"/>
        <w:ind w:firstLine="1134"/>
        <w:jc w:val="both"/>
        <w:rPr>
          <w:lang w:val="es-AR" w:eastAsia="es-AR" w:bidi="es-AR"/>
        </w:rPr>
      </w:pPr>
      <w:r>
        <w:rPr>
          <w:lang w:val="es-AR" w:eastAsia="es-AR" w:bidi="es-AR"/>
        </w:rPr>
        <w:t xml:space="preserve">Si bien es cierto que el vínculo de parentesco o afinidad que la testigo mantiene con una de las partes constituye una circunstancia que debe ser necesariamente ponderada al momento de apreciar la fuerza convictiva de sus dichos, sin embargo una cosa es la admisibilidad formal del testimonio y otra diversa su eficacia probatoria. El hecho de que la declarante haya reconocido encontrarse comprendida en las generales de la ley no determina, por sí solo, la absoluta ineficacia de su declaración.</w:t>
      </w:r>
    </w:p>
    <w:p>
      <w:pPr>
        <w:pStyle w:val="[Normal]"/>
        <w:spacing w:line="360" w:lineRule="auto"/>
        <w:ind w:firstLine="1134"/>
        <w:jc w:val="both"/>
        <w:rPr>
          <w:lang w:val="es-AR" w:eastAsia="es-AR" w:bidi="es-AR"/>
        </w:rPr>
      </w:pPr>
      <w:r>
        <w:rPr>
          <w:lang w:val="es-AR" w:eastAsia="es-AR" w:bidi="es-AR"/>
        </w:rPr>
        <w:t xml:space="preserve">En el caso, la testigo no efectuó un relato de oídas sino que refirió haber presenciado directamente el episodio, expresó que se encontraba dentro del vehículo del actor cuando éste había estacionado y que posteriormente observó que el automóvil ubicado delante realizó una maniobra de marcha atrás y colisionó contra aquél. También hizo referencia a los daños localizados en la parte delantera del rodado.</w:t>
      </w:r>
    </w:p>
    <w:p>
      <w:pPr>
        <w:pStyle w:val="[Normal]"/>
        <w:spacing w:line="360" w:lineRule="auto"/>
        <w:ind w:firstLine="1134"/>
        <w:jc w:val="both"/>
        <w:rPr>
          <w:lang w:val="es-AR" w:eastAsia="es-AR" w:bidi="es-AR"/>
        </w:rPr>
      </w:pPr>
      <w:r>
        <w:rPr>
          <w:lang w:val="es-AR" w:eastAsia="es-AR" w:bidi="es-AR"/>
        </w:rPr>
        <w:t xml:space="preserve">Respecto al valor de testimonios de personas comprendidas en las generales de la ley, "... </w:t>
      </w:r>
      <w:r>
        <w:rPr>
          <w:i/>
          <w:lang w:val="es-AR" w:eastAsia="es-AR" w:bidi="es-AR"/>
        </w:rPr>
        <w:t xml:space="preserve">cobra relevancia cuando se trata de un testigo necesario por su intervención personal y directa de la situación que originó el pleito, pues cabe presumir que permite el efectivo conocimiento de los hechos. Por estos motivos, han de exigirse a los dichos la necesaria precisión  a fin de no poner en dudas su declaración</w:t>
      </w:r>
      <w:r>
        <w:rPr>
          <w:lang w:val="es-AR" w:eastAsia="es-AR" w:bidi="es-AR"/>
        </w:rPr>
        <w:t xml:space="preserve">"(Carlos E. Fenochietto, "Código Procesal Civil y Comercial de la Provincia de Buenos Aires, comentado, anotado y concordado....", 5ta. edición actualizada y ampliada, Ed. Astrea, 1999).</w:t>
      </w:r>
    </w:p>
    <w:p>
      <w:pPr>
        <w:pStyle w:val="[Normal]"/>
        <w:spacing w:line="360" w:lineRule="auto"/>
        <w:ind w:firstLine="1134"/>
        <w:jc w:val="both"/>
        <w:rPr>
          <w:lang w:val="es-AR" w:eastAsia="es-AR" w:bidi="es-AR"/>
        </w:rPr>
      </w:pPr>
      <w:r>
        <w:rPr>
          <w:lang w:val="es-AR" w:eastAsia="es-AR" w:bidi="es-AR"/>
        </w:rPr>
        <w:t xml:space="preserve">Es así que, siendo cierto que se trata de la única prueba testimonial y que su relación con el accionante impone una valoración prudente, pero de ello no se deriva que sus manifestaciones carezcan por completo de aptitud convictiva. La prueba debe ser apreciada en conjunto y de acuerdo con las reglas de la sana crítica, sin posibilidad de convertir una circunstancia que aconseja mayor rigor valorativo en una regla de exclusión automática (Arts.384, 456 del C.P.C. y C).</w:t>
      </w:r>
    </w:p>
    <w:p>
      <w:pPr>
        <w:pStyle w:val="[Normal]"/>
        <w:spacing w:line="360" w:lineRule="auto"/>
        <w:ind w:firstLine="1134"/>
        <w:jc w:val="both"/>
        <w:rPr>
          <w:lang w:val="es-AR" w:eastAsia="es-AR" w:bidi="es-AR"/>
        </w:rPr>
      </w:pPr>
      <w:r>
        <w:rPr>
          <w:lang w:val="es-AR" w:eastAsia="es-AR" w:bidi="es-AR"/>
        </w:rPr>
        <w:t xml:space="preserve">Tampoco asiste razón a la apelante cuando atribuye a la pericia mecánica un alcance que el propio dictamen no permite conferirle, ya que  la sentencia de primera instancia tuvo presente que el perito oficial manifestó que los elementos aportados eran insuficientes para describir integralmente los daños de los móviles y que tampoco contaba con elementos técnicos objetivos suficientes para reconstruir la mecánica del accidente.</w:t>
      </w:r>
    </w:p>
    <w:p>
      <w:pPr>
        <w:pStyle w:val="[Normal]"/>
        <w:spacing w:line="360" w:lineRule="auto"/>
        <w:ind w:firstLine="1134"/>
        <w:jc w:val="both"/>
        <w:rPr>
          <w:lang w:val="es-AR" w:eastAsia="es-AR" w:bidi="es-AR"/>
        </w:rPr>
      </w:pPr>
      <w:r>
        <w:rPr>
          <w:lang w:val="es-AR" w:eastAsia="es-AR" w:bidi="es-AR"/>
        </w:rPr>
        <w:t xml:space="preserve">La expresión de agravios reproduce esas conclusiones y destaca que no hubo inspección técnica, reconstrucción accidentológica ni estudio de compatibilidad de daños, sin embargo de la insuficiencia del material técnico para efectuar una reconstrucción integral del episodio no se deriva necesariamente la inexistencia del accidente.</w:t>
      </w:r>
    </w:p>
    <w:p>
      <w:pPr>
        <w:pStyle w:val="[Normal]"/>
        <w:spacing w:line="360" w:lineRule="auto"/>
        <w:ind w:firstLine="1134"/>
        <w:jc w:val="both"/>
        <w:rPr>
          <w:lang w:val="es-AR" w:eastAsia="es-AR" w:bidi="es-AR"/>
        </w:rPr>
      </w:pPr>
      <w:r>
        <w:rPr>
          <w:lang w:val="es-AR" w:eastAsia="es-AR" w:bidi="es-AR"/>
        </w:rPr>
        <w:t xml:space="preserve">La pericia no afirmó que el hecho relatado fuera físicamente imposible ni estableció una mecánica distinta incompatible con la versión de la demanda, y lo que surge de las propias manifestaciones transcriptas por la recurrente es una insuficiencia de elementos para efectuar una determinación técnica acabada, por lo cual no cabe convertir una limitación probatoria del dictamen en una conclusión positiva acerca de la falsedad o inexistencia del hecho.</w:t>
      </w:r>
    </w:p>
    <w:p>
      <w:pPr>
        <w:pStyle w:val="[Normal]"/>
        <w:spacing w:line="360" w:lineRule="auto"/>
        <w:ind w:firstLine="1134"/>
        <w:jc w:val="both"/>
        <w:rPr>
          <w:lang w:val="es-AR" w:eastAsia="es-AR" w:bidi="es-AR"/>
        </w:rPr>
      </w:pPr>
      <w:r>
        <w:rPr>
          <w:lang w:val="es-AR" w:eastAsia="es-AR" w:bidi="es-AR"/>
        </w:rPr>
        <w:t xml:space="preserve">A ello se suma que existe una declaración testimonial directa sobre la secuencia del accidente y que la propia sentencia tuvo por corroborada la presencia de daño en la zona frontal del vehículo del actor.</w:t>
      </w:r>
    </w:p>
    <w:p>
      <w:pPr>
        <w:pStyle w:val="[Normal]"/>
        <w:spacing w:line="360" w:lineRule="auto"/>
        <w:ind w:firstLine="1134"/>
        <w:jc w:val="both"/>
        <w:rPr>
          <w:lang w:val="es-AR" w:eastAsia="es-AR" w:bidi="es-AR"/>
        </w:rPr>
      </w:pPr>
      <w:r>
        <w:rPr>
          <w:lang w:val="es-AR" w:eastAsia="es-AR" w:bidi="es-AR"/>
        </w:rPr>
        <w:t xml:space="preserve">En este contexto, entiendo que la conclusión relativa a la existencia del hecho y a la intervención causal del vehículo demandado no aparece desprovista de sustento objetivo, aun cuando la prueba técnica no haya permitido reconstruir en detalle la totalidad de la mecánica.</w:t>
      </w:r>
    </w:p>
    <w:p>
      <w:pPr>
        <w:pStyle w:val="[Normal]"/>
        <w:spacing w:line="360" w:lineRule="auto"/>
        <w:ind w:firstLine="1134"/>
        <w:jc w:val="both"/>
        <w:rPr>
          <w:lang w:val="es-AR" w:eastAsia="es-AR" w:bidi="es-AR"/>
        </w:rPr>
      </w:pPr>
      <w:r>
        <w:rPr>
          <w:lang w:val="es-AR" w:eastAsia="es-AR" w:bidi="es-AR"/>
        </w:rPr>
        <w:t xml:space="preserve">Debe recordarse, asimismo, que la responsabilidad atribuida en autos fue encuadrada en el régimen objetivo de responsabilidad derivada de la intervención de una cosa riesgosa, con fundamento en los arts. 1757 y 1769 del Código Civil y Comercial.</w:t>
      </w:r>
    </w:p>
    <w:p>
      <w:pPr>
        <w:pStyle w:val="[Normal]"/>
        <w:spacing w:line="360" w:lineRule="auto"/>
        <w:ind w:firstLine="1134"/>
        <w:jc w:val="both"/>
        <w:rPr>
          <w:lang w:val="es-AR" w:eastAsia="es-AR" w:bidi="es-AR"/>
        </w:rPr>
      </w:pPr>
      <w:r>
        <w:rPr>
          <w:lang w:val="es-AR" w:eastAsia="es-AR" w:bidi="es-AR"/>
        </w:rPr>
        <w:t xml:space="preserve">Por lo que una vez acreditada la intervención del automotor demandado y la producción de un daño en el vehículo de la parte actora, corresponde examinar si existió una causa ajena idónea para interrumpir el nexo causal y nada de ello ha sido demostrado en el caso.</w:t>
      </w:r>
    </w:p>
    <w:p>
      <w:pPr>
        <w:pStyle w:val="[Normal]"/>
        <w:spacing w:line="360" w:lineRule="auto"/>
        <w:ind w:firstLine="1134"/>
        <w:jc w:val="both"/>
        <w:rPr>
          <w:lang w:val="es-AR" w:eastAsia="es-AR" w:bidi="es-AR"/>
        </w:rPr>
      </w:pPr>
      <w:r>
        <w:rPr>
          <w:lang w:val="es-AR" w:eastAsia="es-AR" w:bidi="es-AR"/>
        </w:rPr>
        <w:t xml:space="preserve">Por último, tampoco puede dejar de valorarse que la maniobra atribuida al demandado consistió en iniciar una marcha hacia atrás desde una posición de estacionamiento, circunstancia que la sentencia ponderó como relevante para la atribución de responsabilidad.</w:t>
      </w:r>
    </w:p>
    <w:p>
      <w:pPr>
        <w:pStyle w:val="[Normal]"/>
        <w:spacing w:line="360" w:lineRule="auto"/>
        <w:ind w:firstLine="1134"/>
        <w:jc w:val="both"/>
        <w:rPr>
          <w:lang w:val="es-AR" w:eastAsia="es-AR" w:bidi="es-AR"/>
        </w:rPr>
      </w:pPr>
      <w:r>
        <w:rPr>
          <w:lang w:val="es-AR" w:eastAsia="es-AR" w:bidi="es-AR"/>
        </w:rPr>
        <w:t xml:space="preserve">En definitiva, los agravios examinados no logran demostrar que la conclusión sobre la existencia del accidente y la responsabilidad del demandado sea consecuencia de una valoración arbitraria o de la sola testimonial cuestionada, sino que la crítica revela, antes bien, una discrepancia con la valoración conjunta de la prueba, insuficiente para justificar la revocación del pronunciamiento, por lo que corresponde rechazar los agravios relativos a la valoración de la testimonial, la pericia mecánica y el nexo causal.</w:t>
      </w:r>
    </w:p>
    <w:p>
      <w:pPr>
        <w:pStyle w:val="[Normal]"/>
        <w:spacing w:line="360" w:lineRule="auto"/>
        <w:ind w:firstLine="1134"/>
        <w:jc w:val="both"/>
        <w:rPr>
          <w:lang w:val="es-AR" w:eastAsia="es-AR" w:bidi="es-AR"/>
        </w:rPr>
      </w:pPr>
      <w:r>
        <w:rPr>
          <w:lang w:val="es-AR" w:eastAsia="es-AR" w:bidi="es-AR"/>
        </w:rPr>
        <w:t xml:space="preserve">Abordando al cuestionamiento relativo a los daños y su extensión, distinta solución corresponde asignar al planteo dirigido contra la procedencia y extensión de los daños materiales.</w:t>
      </w:r>
    </w:p>
    <w:p>
      <w:pPr>
        <w:pStyle w:val="[Normal]"/>
        <w:spacing w:line="360" w:lineRule="auto"/>
        <w:ind w:firstLine="1134"/>
        <w:jc w:val="both"/>
        <w:rPr>
          <w:lang w:val="es-AR" w:eastAsia="es-AR" w:bidi="es-AR"/>
        </w:rPr>
      </w:pPr>
      <w:r>
        <w:rPr>
          <w:lang w:val="es-AR" w:eastAsia="es-AR" w:bidi="es-AR"/>
        </w:rPr>
        <w:t xml:space="preserve">La apelante sostiene que  su parte desconoció la autenticidad de los presupuestos, fotografías y demás documentación, que el perito no confirmó los daños denunciados y que solamente pudo observar el faltante de la parrilla frontal. En tales condiciones, cuestiona que la sentencia haya utilizado el presupuesto acompañado con la demanda como base para una futura determinación del quantum, y en este punto entiendo que la crítica posee mayor entidad.</w:t>
      </w:r>
    </w:p>
    <w:p>
      <w:pPr>
        <w:pStyle w:val="[Normal]"/>
        <w:spacing w:line="360" w:lineRule="auto"/>
        <w:ind w:firstLine="1134"/>
        <w:jc w:val="both"/>
        <w:rPr>
          <w:lang w:val="es-AR" w:eastAsia="es-AR" w:bidi="es-AR"/>
        </w:rPr>
      </w:pPr>
      <w:r>
        <w:rPr>
          <w:lang w:val="es-AR" w:eastAsia="es-AR" w:bidi="es-AR"/>
        </w:rPr>
        <w:t xml:space="preserve">Cabe recordar que, conforme surge de autos, el perito mecánico oficial dictaminó en forma expresa que "</w:t>
      </w:r>
      <w:r>
        <w:rPr>
          <w:i/>
          <w:lang w:val="es-AR" w:eastAsia="es-AR" w:bidi="es-AR"/>
        </w:rPr>
        <w:t xml:space="preserve">los elementos aportados resultan insuficientes para describir los daños de los móviles, solo pudiéndose apreciar en Pag. 16 (fotografía), el faltante de parrilla del automóvil Fiat dominio IVH403</w:t>
      </w:r>
      <w:r>
        <w:rPr>
          <w:lang w:val="es-AR" w:eastAsia="es-AR" w:bidi="es-AR"/>
        </w:rPr>
        <w:t xml:space="preserve">" y que "</w:t>
      </w:r>
      <w:r>
        <w:rPr>
          <w:i/>
          <w:lang w:val="es-AR" w:eastAsia="es-AR" w:bidi="es-AR"/>
        </w:rPr>
        <w:t xml:space="preserve">carece de elementos técnicos objetivos que permitan describir la mecánica del accidente</w:t>
      </w:r>
      <w:r>
        <w:rPr>
          <w:lang w:val="es-AR" w:eastAsia="es-AR" w:bidi="es-AR"/>
        </w:rPr>
        <w:t xml:space="preserve">", no habiéndose producido en la causa inspección técnica, reconstrucción accidentológica ni estudio de compatibilidad de daños, siendo la única constatación objetiva realizada por el experto el faltante de la parrilla frontal del rodado del actor.</w:t>
      </w:r>
    </w:p>
    <w:p>
      <w:pPr>
        <w:pStyle w:val="[Normal]"/>
        <w:spacing w:line="360" w:lineRule="auto"/>
        <w:ind w:firstLine="1134"/>
        <w:jc w:val="both"/>
        <w:rPr>
          <w:lang w:val="es-AR" w:eastAsia="es-AR" w:bidi="es-AR"/>
        </w:rPr>
      </w:pPr>
      <w:r>
        <w:rPr>
          <w:lang w:val="es-AR" w:eastAsia="es-AR" w:bidi="es-AR"/>
        </w:rPr>
        <w:t xml:space="preserve">Frente a tal dictamen, la sentencia de grado, que no fundó la acreditación del nexo causal en la pericia, sino en la prueba testimonial y en la denuncia administrativa ya examinadas (lo que autoriza a tener por probada la ocurrencia misma del hecho dañoso y su mecánica genérica, esto es, la marcha atrás del rodado del demandado y el impacto contra el frente del vehículo del actor) no podía, sin embargo, sin incurrir en contradicción con las propias constancias periciales, extender sin más el resarcimiento a la totalidad de los daños denunciados por el actor -ópticas izquierda y derecha, condensador de aire acondicionado y paragolpes delantero-, cuya existencia y entidad no fueron corroboradas por el perito, y cuya única fuente es el presupuesto privado acompañado por la propia actora, expresamente desconocido por la demandada y no ratificado por prueba informativa o testimonial idónea, en los términos de los arts. 375 y 384 del C.P.C. y C.</w:t>
      </w:r>
    </w:p>
    <w:p>
      <w:pPr>
        <w:pStyle w:val="[Normal]"/>
        <w:spacing w:line="360" w:lineRule="auto"/>
        <w:ind w:firstLine="1134"/>
        <w:jc w:val="both"/>
        <w:rPr>
          <w:lang w:val="es-AR" w:eastAsia="es-AR" w:bidi="es-AR"/>
        </w:rPr>
      </w:pPr>
      <w:r>
        <w:rPr>
          <w:lang w:val="es-AR" w:eastAsia="es-AR" w:bidi="es-AR"/>
        </w:rPr>
        <w:t xml:space="preserve">En efecto, una cosa es tener por acreditada la ocurrencia del hecho dañoso y la intervención causal del rodado del demandado -lo que, como se dijo, encuentra sustento suficiente en la prueba testimonial corroborada por la denuncia administrativa- y otra distinta es tener por probada la existencia y extensión de cada uno de los daños materiales reclamados, extremo que, por tratarse de un hecho constitutivo autónomo, debía ser acreditado por la actora con prueba idónea (art. 375 C.P.C. y C.), sin que a tal fin baste la sola presentación de un presupuesto privado desconocido por la contraria y no corroborado por otros medios de prueba, ni resulte suficiente para ello el propio dictamen pericial, que declaró expresamente su insuficiencia técnica para describir tales daños.</w:t>
      </w:r>
    </w:p>
    <w:p>
      <w:pPr>
        <w:pStyle w:val="[Normal]"/>
        <w:spacing w:line="360" w:lineRule="auto"/>
        <w:ind w:firstLine="1134"/>
        <w:jc w:val="both"/>
        <w:rPr>
          <w:lang w:val="es-AR" w:eastAsia="es-AR" w:bidi="es-AR"/>
        </w:rPr>
      </w:pPr>
      <w:r>
        <w:rPr>
          <w:lang w:val="es-AR" w:eastAsia="es-AR" w:bidi="es-AR"/>
        </w:rPr>
        <w:t xml:space="preserve">La declaración testimonial, por su parte, da cuenta de daños en la parte delantera del vehículo, pero tampoco proporciona, con el grado de precisión necesario, fundamento suficiente para tener por demostradas todas y cada una de las reparaciones reclamadas (ópticas, condensador de aire acondicionado, paragolpes y demás componentes) ni su exacta relación causal con el hecho.</w:t>
      </w:r>
    </w:p>
    <w:p>
      <w:pPr>
        <w:pStyle w:val="[Normal]"/>
        <w:spacing w:line="360" w:lineRule="auto"/>
        <w:ind w:firstLine="1134"/>
        <w:jc w:val="both"/>
        <w:rPr>
          <w:lang w:val="es-AR" w:eastAsia="es-AR" w:bidi="es-AR"/>
        </w:rPr>
      </w:pPr>
      <w:r>
        <w:rPr>
          <w:lang w:val="es-AR" w:eastAsia="es-AR" w:bidi="es-AR"/>
        </w:rPr>
        <w:t xml:space="preserve">La solución de diferir la cuantificación no ofrece, en sí misma, objeción alguna, particularmente cuando se trata de una obligación de valor cuyo contenido económico puede ser precisado con posterioridad. El problema reside, en cambio, en qué daños concretos se encuentran efectivamente acreditados y por ende, pueden integrar la posterior liquidación.</w:t>
      </w:r>
    </w:p>
    <w:p>
      <w:pPr>
        <w:pStyle w:val="[Normal]"/>
        <w:spacing w:line="360" w:lineRule="auto"/>
        <w:ind w:firstLine="1134"/>
        <w:jc w:val="both"/>
        <w:rPr>
          <w:lang w:val="es-AR" w:eastAsia="es-AR" w:bidi="es-AR"/>
        </w:rPr>
      </w:pPr>
      <w:r>
        <w:rPr>
          <w:lang w:val="es-AR" w:eastAsia="es-AR" w:bidi="es-AR"/>
        </w:rPr>
        <w:t xml:space="preserve">Por consiguiente, corresponde hacer lugar parcialmente a los agravios examinados en este apartado, y revocar la sentencia apelada en cuanto extendió la condena por daño material a rubros no verificados pericialmente, como son ópticas izquierda y derecha, condensador de aire acondicionado y paragolpes delantero, limitando el resarcimiento por dicho concepto exclusivamente a la rotura de la parrilla frontal, cuya existencia fue efectivamente constatada por el perito oficial, difiriéndose su cuantificación a la etapa de liquidación, conforme el procedimiento y los parámetros fijados en el considerando "VI. - INDEMNIZACIONES " de la sentencia de primer grado, que en lo demás se confirma.</w:t>
      </w:r>
    </w:p>
    <w:p>
      <w:pPr>
        <w:pStyle w:val="[Normal]"/>
        <w:spacing w:line="360" w:lineRule="auto"/>
        <w:ind w:firstLine="1134"/>
        <w:jc w:val="both"/>
        <w:rPr>
          <w:lang w:val="es-AR" w:eastAsia="es-AR" w:bidi="es-AR"/>
        </w:rPr>
      </w:pPr>
      <w:r>
        <w:rPr>
          <w:lang w:val="es-AR" w:eastAsia="es-AR" w:bidi="es-AR"/>
        </w:rPr>
        <w:t xml:space="preserve">Por último, las costas de Alzada, atento al resultado sustancialmente adverso del recurso y a que la modificación propuesta no altera la responsabilidad principal objeto del litigio, propongo imponerlas a la parte apelante, en los términos del art. 68 del Código Procesal.</w:t>
      </w:r>
    </w:p>
    <w:p>
      <w:pPr>
        <w:pStyle w:val="[Normal]"/>
        <w:spacing w:line="360" w:lineRule="auto"/>
        <w:ind w:firstLine="1134"/>
        <w:jc w:val="both"/>
        <w:rPr>
          <w:lang w:val="es-AR" w:eastAsia="es-AR" w:bidi="es-AR"/>
        </w:rPr>
      </w:pPr>
      <w:r>
        <w:rPr>
          <w:lang w:val="es-AR" w:eastAsia="es-AR" w:bidi="es-AR"/>
        </w:rPr>
        <w:t xml:space="preserve">Por las razones dadas, citas legales de referencia y con el alcance indicado,</w:t>
      </w:r>
    </w:p>
    <w:p>
      <w:pPr>
        <w:pStyle w:val="[Normal]"/>
        <w:spacing w:line="360" w:lineRule="auto"/>
        <w:ind w:firstLine="1134"/>
        <w:jc w:val="both"/>
        <w:rPr>
          <w:lang w:val="es-AR" w:eastAsia="es-AR" w:bidi="es-AR"/>
        </w:rPr>
      </w:pPr>
      <w:r>
        <w:rPr>
          <w:b/>
          <w:lang w:val="es-AR" w:eastAsia="es-AR" w:bidi="es-AR"/>
        </w:rPr>
        <w:t xml:space="preserve">VOTO POR LA AFIRMATIVA.</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Scaraffia por análogos fundamentos votó en el mismo sentido.-</w:t>
      </w:r>
    </w:p>
    <w:p>
      <w:pPr>
        <w:pStyle w:val="[Normal]"/>
        <w:spacing w:line="360" w:lineRule="auto"/>
        <w:ind w:firstLine="1134"/>
        <w:jc w:val="both"/>
        <w:rPr>
          <w:lang w:val="es-AR" w:eastAsia="es-AR" w:bidi="es-AR"/>
        </w:rPr>
      </w:pPr>
      <w:r>
        <w:rPr>
          <w:lang w:val="es-AR" w:eastAsia="es-AR" w:bidi="es-AR"/>
        </w:rPr>
        <w:t xml:space="preserve">A la segunda cuestión el señor Juez Roberto Degleue dijo: De conformidad al resultado habido al tratarse la cuestión precedente, estimo que el pronunciamiento que corresponde dictar es: </w:t>
      </w:r>
    </w:p>
    <w:p>
      <w:pPr>
        <w:pStyle w:val="[Normal]"/>
        <w:spacing w:line="360" w:lineRule="auto"/>
        <w:ind w:firstLine="1134"/>
        <w:jc w:val="both"/>
        <w:rPr>
          <w:lang w:val="es-AR" w:eastAsia="es-AR" w:bidi="es-AR"/>
        </w:rPr>
      </w:pPr>
      <w:r>
        <w:rPr>
          <w:lang w:val="es-AR" w:eastAsia="es-AR" w:bidi="es-AR"/>
        </w:rPr>
        <w:t xml:space="preserve">Hacer lugar parcialmente al recurso interpuesto y en su mérito  modificar el pronunciamiento solo en cuanto a la amplitud con la que quedó proyectada la futura cuantificación del daño material, que deberá circunscribirse a los daños efectivamente acreditados y causalmente vinculados con el accidente, esto es rotura de la parrilla frontal, confirmando en lo demás que decidiera la sentencia apelada.-</w:t>
      </w:r>
    </w:p>
    <w:p>
      <w:pPr>
        <w:pStyle w:val="[Normal]"/>
        <w:spacing w:line="360" w:lineRule="auto"/>
        <w:ind w:firstLine="1134"/>
        <w:jc w:val="both"/>
        <w:rPr>
          <w:lang w:val="es-AR" w:eastAsia="es-AR" w:bidi="es-AR"/>
        </w:rPr>
      </w:pPr>
      <w:r>
        <w:rPr>
          <w:lang w:val="es-AR" w:eastAsia="es-AR" w:bidi="es-AR"/>
        </w:rPr>
        <w:t xml:space="preserve">Imponer las costas de Alzada a la apelante por los motivos expuestos (Art. 68 del C.P.C. y C.).</w:t>
      </w:r>
    </w:p>
    <w:p>
      <w:pPr>
        <w:pStyle w:val="[Normal]"/>
        <w:spacing w:line="360" w:lineRule="auto"/>
        <w:ind w:firstLine="1134"/>
        <w:jc w:val="both"/>
        <w:rPr>
          <w:lang w:val="es-AR" w:eastAsia="es-AR" w:bidi="es-AR"/>
        </w:rPr>
      </w:pPr>
      <w:r>
        <w:rPr>
          <w:lang w:val="es-AR" w:eastAsia="es-AR" w:bidi="es-AR"/>
        </w:rPr>
        <w:t xml:space="preserve">Diferir la regulación de los honorarios para su oportunidad (Art. 31 Ley 14.967).</w:t>
      </w:r>
    </w:p>
    <w:p>
      <w:pPr>
        <w:pStyle w:val="[Normal]"/>
        <w:spacing w:line="360" w:lineRule="auto"/>
        <w:ind w:firstLine="1134"/>
        <w:jc w:val="both"/>
        <w:rPr>
          <w:lang w:val="es-AR" w:eastAsia="es-AR" w:bidi="es-AR"/>
        </w:rPr>
      </w:pPr>
      <w:r>
        <w:rPr>
          <w:b/>
          <w:lang w:val="es-AR" w:eastAsia="es-AR" w:bidi="es-AR"/>
        </w:rPr>
        <w:t xml:space="preserve">ASÍ LO VOTO. </w:t>
      </w:r>
    </w:p>
    <w:p>
      <w:pPr>
        <w:pStyle w:val="[Normal]"/>
        <w:spacing w:line="360" w:lineRule="auto"/>
        <w:ind w:firstLine="1134"/>
        <w:jc w:val="both"/>
        <w:rPr>
          <w:lang w:val="es-AR" w:eastAsia="es-AR" w:bidi="es-AR"/>
        </w:rPr>
      </w:pPr>
      <w:r>
        <w:rPr>
          <w:lang w:val="es-AR" w:eastAsia="es-AR" w:bidi="es-AR"/>
        </w:rPr>
        <w:t xml:space="preserve">A la misma cuestión la señora Jueza Graciela Scaraffia por análogos fundamentos votó en el mismo sentido.-</w:t>
      </w:r>
    </w:p>
    <w:p>
      <w:pPr>
        <w:pStyle w:val="[Normal]"/>
        <w:spacing w:line="360" w:lineRule="auto"/>
        <w:ind w:firstLine="1134"/>
        <w:jc w:val="both"/>
        <w:rPr>
          <w:lang w:val="es-AR" w:eastAsia="es-AR" w:bidi="es-AR"/>
        </w:rPr>
      </w:pPr>
      <w:r>
        <w:rPr>
          <w:lang w:val="es-AR" w:eastAsia="es-AR" w:bidi="es-AR"/>
        </w:rPr>
        <w:t xml:space="preserve">Con lo que terminó el presente Acuerdo, dictándose la siguiente;</w:t>
      </w:r>
    </w:p>
    <w:p>
      <w:pPr>
        <w:pStyle w:val="[Normal]"/>
        <w:spacing w:line="360" w:lineRule="auto"/>
        <w:ind w:firstLine="1134"/>
        <w:jc w:val="both"/>
        <w:rPr>
          <w:b/>
          <w:u w:val="single"/>
          <w:lang w:val="es-AR" w:eastAsia="es-AR" w:bidi="es-AR"/>
        </w:rPr>
      </w:pPr>
      <w:r>
        <w:rPr>
          <w:b/>
          <w:u w:val="single"/>
          <w:lang w:val="es-AR" w:eastAsia="es-AR" w:bidi="es-AR"/>
        </w:rPr>
        <w:t xml:space="preserve">S E N T E N C I A</w:t>
      </w:r>
      <w:r>
        <w:rPr>
          <w:u w:val="single"/>
          <w:lang w:val="es-AR" w:eastAsia="es-AR" w:bidi="es-AR"/>
        </w:rPr>
        <w:t xml:space="preserve">:</w:t>
      </w:r>
    </w:p>
    <w:p>
      <w:pPr>
        <w:pStyle w:val="[Normal]"/>
        <w:spacing w:line="360" w:lineRule="auto"/>
        <w:ind w:firstLine="1134"/>
        <w:jc w:val="both"/>
        <w:rPr>
          <w:lang w:val="es-AR" w:eastAsia="es-AR" w:bidi="es-AR"/>
        </w:rPr>
      </w:pPr>
      <w:r>
        <w:rPr>
          <w:lang w:val="es-AR" w:eastAsia="es-AR" w:bidi="es-AR"/>
        </w:rPr>
        <w:t xml:space="preserve">Hacer lugar parcialmente al recurso interpuesto y en su mérito  modificar  el pronunciamiento solo en cuanto a la amplitud con la que quedó proyectada la futura cuantificación del daño material, que deberá circunscribirse a los daños efectivamente acreditados y causalmente vinculados con el accidente, esto es rotura de la parrilla frontal,  confirmando en lo demás que decidiera la sentencia apelada.-.</w:t>
      </w:r>
    </w:p>
    <w:p>
      <w:pPr>
        <w:pStyle w:val="[Normal]"/>
        <w:spacing w:line="360" w:lineRule="auto"/>
        <w:ind w:firstLine="1134"/>
        <w:jc w:val="both"/>
        <w:rPr>
          <w:lang w:val="es-AR" w:eastAsia="es-AR" w:bidi="es-AR"/>
        </w:rPr>
      </w:pPr>
      <w:r>
        <w:rPr>
          <w:lang w:val="es-AR" w:eastAsia="es-AR" w:bidi="es-AR"/>
        </w:rPr>
        <w:t xml:space="preserve">Imponer las costas de Alzada a la apelante por los motivos expuestos (Art. 68 del C.P.C. y C.).</w:t>
      </w:r>
    </w:p>
    <w:p>
      <w:pPr>
        <w:pStyle w:val="[Normal]"/>
        <w:spacing w:line="360" w:lineRule="auto"/>
        <w:ind w:firstLine="1134"/>
        <w:jc w:val="both"/>
        <w:rPr>
          <w:lang w:val="es-AR" w:eastAsia="es-AR" w:bidi="es-AR"/>
        </w:rPr>
      </w:pPr>
      <w:r>
        <w:rPr>
          <w:lang w:val="es-AR" w:eastAsia="es-AR" w:bidi="es-AR"/>
        </w:rPr>
        <w:t xml:space="preserve">Diferir la regulación de los honorarios para su oportunidad (Art. 31 Ley 14.967).</w:t>
      </w:r>
    </w:p>
    <w:p>
      <w:pPr>
        <w:pStyle w:val="[Normal]"/>
        <w:spacing w:line="360" w:lineRule="auto"/>
        <w:ind w:firstLine="1134"/>
        <w:jc w:val="both"/>
        <w:rPr>
          <w:color w:val="000000"/>
          <w:lang w:val="es-AR" w:eastAsia="es-AR" w:bidi="es-AR"/>
        </w:rPr>
      </w:pPr>
      <w:r>
        <w:rPr>
          <w:lang w:val="es-AR" w:eastAsia="es-AR" w:bidi="es-AR"/>
        </w:rPr>
        <w:t xml:space="preserve">Regístrese. Notifíquese por Secretaría (Ac. 4013 y mod. SCBA) remitiéndose copia digital de la presente sentencia a los domicilios electrónicos de las respectivas partes. Devuélvase.</w:t>
      </w:r>
    </w:p>
    <w:p>
      <w:pPr>
        <w:pStyle w:val="[Normal]"/>
        <w:spacing w:line="480" w:lineRule="auto"/>
        <w:ind w:firstLine="1134"/>
        <w:jc w:val="both"/>
        <w:rPr>
          <w:color w:val="000000"/>
          <w:lang w:val="es-AR" w:eastAsia="es-AR" w:bidi="es-AR"/>
        </w:rPr>
      </w:pPr>
      <w:r>
        <w:rPr>
          <w:color w:val="000000"/>
          <w:lang w:val="es-AR" w:eastAsia="es-AR" w:bidi="es-AR"/>
        </w:rPr>
        <w:t xml:space="preserve"> </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REFERENCIAS: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15/09/2026 10:21:20 - SCARAFFIA Graciela Hilda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15/09/2026 10:41:58 - DEGLEUE Roberto Manuel - JUEZ</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Funcionario Firmante: 15/09/2026 13:19:58 - PELUSA Juan Cruz - AUXILIAR LETRADO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336" w:after="336"/>
        <w:rPr>
          <w:rFonts w:ascii="BarCode 128" w:hAnsi="BarCode 128" w:eastAsia="BarCode 128" w:cs="BarCode 128"/>
          <w:sz w:val="60"/>
          <w:lang w:val="es-AR" w:eastAsia="es-AR" w:bidi="es-AR"/>
        </w:rPr>
      </w:pPr>
      <w:r>
        <w:rPr>
          <w:rFonts w:ascii="BarCode 128" w:hAnsi="BarCode 128" w:eastAsia="BarCode 128" w:cs="BarCode 128"/>
          <w:sz w:val="60"/>
          <w:lang w:val="es-AR" w:eastAsia="es-AR" w:bidi="es-AR"/>
        </w:rPr>
        <w:t xml:space="preserve">‰7j")è'!3XÁŠ</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12" w:after="112"/>
        <w:rPr>
          <w:sz w:val="20"/>
          <w:lang w:val="es-AR" w:eastAsia="es-AR" w:bidi="es-AR"/>
        </w:rPr>
      </w:pPr>
      <w:r>
        <w:rPr>
          <w:sz w:val="20"/>
          <w:lang w:val="es-AR" w:eastAsia="es-AR" w:bidi="es-AR"/>
        </w:rPr>
        <w:t xml:space="preserve">237402090007011956</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lang w:val="es-AR" w:eastAsia="es-AR" w:bidi="es-AR"/>
        </w:rPr>
      </w:pPr>
      <w:r>
        <w:rPr>
          <w:lang w:val="es-AR" w:eastAsia="es-AR" w:bidi="es-AR"/>
        </w:rPr>
        <w:br w:type="textWrapping"/>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lang w:val="es-AR" w:eastAsia="es-AR" w:bidi="es-AR"/>
        </w:rPr>
        <w:t xml:space="preserve">CAMARA DE APELACION EN LO CIVIL Y COMERCIAL PERGAMINO</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rStyle w:val="B"/>
          <w:u w:val="single"/>
          <w:lang w:val="es-AR" w:eastAsia="es-AR" w:bidi="es-AR"/>
        </w:rPr>
        <w:t xml:space="preserve">NO CONTIENE ARCHIVOS ADJUNTOS</w:t>
      </w:r>
    </w:p>
    <w:p>
      <w:pPr>
        <w:pStyle w:val="BODY"/>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134" w:after="134"/>
        <w:rPr>
          <w:lang w:val="es-AR" w:eastAsia="es-AR" w:bidi="es-AR"/>
        </w:rPr>
      </w:pPr>
      <w:r>
        <w:rPr>
          <w:lang w:val="es-AR" w:eastAsia="es-AR" w:bidi="es-AR"/>
        </w:rPr>
        <w:t xml:space="preserve">Registrado en REGISTRO DE SENTENCIAS el 15/09/2026 13:20:19 hs. bajo el número RS-147-2026 por PELUSA JUAN.</w:t>
      </w:r>
    </w:p>
    <w:p>
      <w:pPr>
        <w:pStyle w:val="[Normal]"/>
        <w:rPr>
          <w:lang w:val="es-AR" w:eastAsia="es-AR" w:bidi="es-AR"/>
        </w:rPr>
      </w:pPr>
    </w:p>
    <w:sectPr>
      <w:pgSz w:w="11906" w:h="16832"/>
      <w:pgMar w:top="2835" w:right="850" w:bottom="1134" w:left="2835" w:header="567" w:footer="567"/>
      <w:pgBorders w:display="allPages" w:offsetFrom="page"/>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BarCode 128">
    <w:charset w:val="00"/>
    <w:family w:val="auto"/>
    <w:pitch w:val="variable"/>
  </w:font>
</w:fonts>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bordersDoNotSurroundFooter/>
  <w:defaultTabStop w:val="1134"/>
  <w:compat>
    <w:noExtraLineSpacing/>
  </w:compat>
  <tx24:txVer tx24:val="25.0.323.500"/>
</w:settings>
</file>

<file path=word/styles.xml><?xml version="1.0" encoding="utf-8"?>
<w:styles xmlns:w="http://schemas.openxmlformats.org/wordprocessingml/2006/main">
  <w:docDefaults>
    <w:rPrDefault>
      <w:rPr>
        <w:rFonts w:ascii="Arial"/>
        <w:sz w:val="24"/>
      </w:rPr>
    </w:rPrDefault>
  </w:docDefaults>
  <w:style w:type="paragraph" w:styleId="[Normal]" w:default="1">
    <w:name w:val="[Normal]"/>
    <w:next w:val="[Normal]"/>
    <w:qFormat/>
    <w:pPr>
      <w:widowControl w:val="off"/>
      <w:shd w:val="clear" w:color="auto" w:fill="auto"/>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before="0" w:after="0" w:line="240" w:lineRule="auto"/>
      <w:ind w:left="0" w:right="0" w:firstLine="0"/>
      <w:jc w:val="left"/>
    </w:pPr>
    <w:rPr>
      <w:rFonts w:ascii="Arial" w:hAnsi="Arial" w:eastAsia="Arial" w:cs="Arial"/>
      <w:b w:val="off"/>
      <w:bCs w:val="off"/>
      <w:i w:val="off"/>
      <w:iCs w:val="off"/>
      <w:strike w:val="off"/>
      <w:color w:val="auto"/>
      <w:position w:val="0"/>
      <w:sz w:val="24"/>
      <w:szCs w:val="24"/>
      <w:shd w:val="clear" w:color="auto" w:fill="auto"/>
      <w:rtl w:val="off"/>
      <w:lang w:val="x-none" w:eastAsia="x-none" w:bidi="x-none"/>
    </w:rPr>
  </w:style>
  <w:style w:type="paragraph" w:styleId="BODY">
    <w:name w:val="BODY"/>
    <w:basedOn w:val="[Normal]"/>
    <w:next w:val="BODY"/>
    <w:qFormat/>
    <w:pPr>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style>
  <w:style w:type="character" w:styleId="B">
    <w:name w:val="B"/>
    <w:qFormat/>
    <w:rPr>
      <w:b/>
      <w:bCs/>
      <w:rtl w:val="off"/>
      <w:lang w:val="x-none" w:eastAsia="x-none" w:bidi="x-none"/>
    </w:rPr>
  </w:style>
</w:styles>
</file>

<file path=word/_rels/document.xml.rels><?xml version="1.0" encoding="UTF-8" standalone="yes"?><Relationships xmlns="http://schemas.openxmlformats.org/package/2006/relationships">
	<Relationship Id="rId00002" Type="http://schemas.openxmlformats.org/officeDocument/2006/relationships/styles" Target="styles.xml"/>
	<Relationship Id="rId00003" Type="http://schemas.openxmlformats.org/officeDocument/2006/relationships/fontTable" Target="fontTable.xml"/>
	<Relationship Id="rId00004" Type="http://schemas.openxmlformats.org/officeDocument/2006/relationships/settings" Target="settings.xml"/>
</Relationships>
</file>