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body>
    <w:p>
      <w:pPr>
        <w:pStyle w:val="[Normal]"/>
        <w:spacing w:line="360" w:lineRule="auto"/>
        <w:jc w:val="both"/>
        <w:rPr>
          <w:lang w:val="es-AR" w:eastAsia="es-AR" w:bidi="es-AR"/>
        </w:rPr>
      </w:pPr>
      <w:r>
        <w:rPr>
          <w:lang w:val="es-AR" w:eastAsia="es-AR" w:bidi="es-AR"/>
        </w:rPr>
        <w:t xml:space="preserve"> En la ciudad de Pergamino, reunidos en Acuerdo Ordinario los Sres. Jueces de la Excma. Cámara de Apelación en lo Civil y Comercial del Departamento Judicial Pergamino, para dictar sentencia en la causa N° </w:t>
      </w:r>
      <w:r>
        <w:rPr>
          <w:b/>
          <w:color w:val="000000"/>
          <w:lang w:val="es-AR" w:eastAsia="es-AR" w:bidi="es-AR"/>
        </w:rPr>
        <w:t xml:space="preserve">5961-25</w:t>
      </w:r>
      <w:r>
        <w:rPr>
          <w:lang w:val="es-AR" w:eastAsia="es-AR" w:bidi="es-AR"/>
        </w:rPr>
        <w:t xml:space="preserve"> caratulada </w:t>
      </w:r>
      <w:r>
        <w:rPr>
          <w:b/>
          <w:lang w:val="es-AR" w:eastAsia="es-AR" w:bidi="es-AR"/>
        </w:rPr>
        <w:t xml:space="preserve">"</w:t>
      </w:r>
      <w:r>
        <w:rPr>
          <w:b/>
          <w:color w:val="000000"/>
          <w:lang w:val="es-AR" w:eastAsia="es-AR" w:bidi="es-AR"/>
        </w:rPr>
        <w:t xml:space="preserve">OLIVERO LEANDRO C/ FRAGOSA JUAN PABLO Y OTROS S/ DAÑOS Y PERJ.AUTOM. C/LES. O MUERTE (EXC.ESTADO)</w:t>
      </w:r>
      <w:r>
        <w:rPr>
          <w:b/>
          <w:lang w:val="es-AR" w:eastAsia="es-AR" w:bidi="es-AR"/>
        </w:rPr>
        <w:t xml:space="preserve">"</w:t>
      </w:r>
      <w:r>
        <w:rPr>
          <w:lang w:val="es-AR" w:eastAsia="es-AR" w:bidi="es-AR"/>
        </w:rPr>
        <w:t xml:space="preserve">, Expte. N° 66.983</w:t>
      </w:r>
      <w:r>
        <w:rPr>
          <w:color w:val="000000"/>
          <w:lang w:val="es-AR" w:eastAsia="es-AR" w:bidi="es-AR"/>
        </w:rPr>
        <w:t xml:space="preserve"> </w:t>
      </w:r>
      <w:r>
        <w:rPr>
          <w:lang w:val="es-AR" w:eastAsia="es-AR" w:bidi="es-AR"/>
        </w:rPr>
        <w:t xml:space="preserve">del Juzgado Civil y Comercial N° 3</w:t>
      </w:r>
      <w:r>
        <w:rPr>
          <w:color w:val="0000FF"/>
          <w:lang w:val="es-AR" w:eastAsia="es-AR" w:bidi="es-AR"/>
        </w:rPr>
        <w:t xml:space="preserve">,</w:t>
      </w:r>
      <w:r>
        <w:rPr>
          <w:lang w:val="es-AR" w:eastAsia="es-AR" w:bidi="es-AR"/>
        </w:rPr>
        <w:t xml:space="preserve"> se practicó el sorteo de ley que determinó que la votación debía efectuarse en el siguiente orden: Roberto Degleue y Graciela Scaraffia, y estudiados los autos se resolvió plantear y votar las siguientes: </w:t>
      </w:r>
    </w:p>
    <w:p>
      <w:pPr>
        <w:pStyle w:val="[Normal]"/>
        <w:spacing w:line="360" w:lineRule="auto"/>
        <w:ind w:firstLine="1134"/>
        <w:jc w:val="both"/>
        <w:rPr>
          <w:lang w:val="es-AR" w:eastAsia="es-AR" w:bidi="es-AR"/>
        </w:rPr>
      </w:pPr>
      <w:r>
        <w:rPr>
          <w:b/>
          <w:lang w:val="es-AR" w:eastAsia="es-AR" w:bidi="es-AR"/>
        </w:rPr>
        <w:t xml:space="preserve">C U E S T I O N E S</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I) ¿Se ajusta a derecho la sentencia en lo apelado?.</w:t>
      </w:r>
    </w:p>
    <w:p>
      <w:pPr>
        <w:pStyle w:val="[Normal]"/>
        <w:spacing w:line="360" w:lineRule="auto"/>
        <w:ind w:firstLine="1134"/>
        <w:jc w:val="both"/>
        <w:rPr>
          <w:lang w:val="es-AR" w:eastAsia="es-AR" w:bidi="es-AR"/>
        </w:rPr>
      </w:pPr>
      <w:r>
        <w:rPr>
          <w:lang w:val="es-AR" w:eastAsia="es-AR" w:bidi="es-AR"/>
        </w:rPr>
        <w:t xml:space="preserve">II) ¿Qué pronunciamiento corresponde dictar?.</w:t>
      </w:r>
    </w:p>
    <w:p>
      <w:pPr>
        <w:pStyle w:val="[Normal]"/>
        <w:spacing w:line="360" w:lineRule="auto"/>
        <w:ind w:firstLine="1134"/>
        <w:jc w:val="both"/>
        <w:rPr>
          <w:lang w:val="es-AR" w:eastAsia="es-AR" w:bidi="es-AR"/>
        </w:rPr>
      </w:pPr>
      <w:r>
        <w:rPr>
          <w:lang w:val="es-AR" w:eastAsia="es-AR" w:bidi="es-AR"/>
        </w:rPr>
        <w:t xml:space="preserve">A la primera cuestión el señor Juez Roberto Degleue dijo:</w:t>
      </w:r>
    </w:p>
    <w:p>
      <w:pPr>
        <w:pStyle w:val="[Normal]"/>
        <w:spacing w:line="360" w:lineRule="auto"/>
        <w:ind w:firstLine="1134"/>
        <w:jc w:val="both"/>
        <w:rPr>
          <w:lang w:val="es-AR" w:eastAsia="es-AR" w:bidi="es-AR"/>
        </w:rPr>
      </w:pPr>
      <w:r>
        <w:rPr>
          <w:lang w:val="es-AR" w:eastAsia="es-AR" w:bidi="es-AR"/>
        </w:rPr>
        <w:t xml:space="preserve">El señor Juez de primera instancia, en lo que aquí interesa, rechazó el rubro reclamado por la actora consistente en la diferencia entre la indemnización percibida por destrucción total del vehículo y el valor de reposición de una unidad equivalente a la fecha de su cobro.-</w:t>
      </w:r>
    </w:p>
    <w:p>
      <w:pPr>
        <w:pStyle w:val="[Normal]"/>
        <w:spacing w:line="360" w:lineRule="auto"/>
        <w:ind w:firstLine="1134"/>
        <w:jc w:val="both"/>
        <w:rPr>
          <w:lang w:val="es-AR" w:eastAsia="es-AR" w:bidi="es-AR"/>
        </w:rPr>
      </w:pPr>
      <w:r>
        <w:rPr>
          <w:lang w:val="es-AR" w:eastAsia="es-AR" w:bidi="es-AR"/>
        </w:rPr>
        <w:t xml:space="preserve">Para así decidir, consideró que habiendo la actora percibido la indemnización abonada por su aseguradora en concepto de destrucción total del vehículo, la deuda de valor derivada de la pérdida del rodado se encontraba íntegramente satisfecha, resultando improcedente el reconocimiento de la diferencia reclamada.-</w:t>
      </w:r>
    </w:p>
    <w:p>
      <w:pPr>
        <w:pStyle w:val="[Normal]"/>
        <w:spacing w:line="360" w:lineRule="auto"/>
        <w:ind w:firstLine="1134"/>
        <w:jc w:val="both"/>
        <w:rPr>
          <w:lang w:val="es-AR" w:eastAsia="es-AR" w:bidi="es-AR"/>
        </w:rPr>
      </w:pPr>
      <w:r>
        <w:rPr>
          <w:lang w:val="es-AR" w:eastAsia="es-AR" w:bidi="es-AR"/>
        </w:rPr>
        <w:t xml:space="preserve">Disconforme con lo resuelto, interpone recurso de apelación la parte actora el 15-12-2025, quien lo funda en fecha 30-3-2026, habiendo la citada en garantía contestado el traslado conferido en fecha 11-5-2026.-</w:t>
      </w:r>
    </w:p>
    <w:p>
      <w:pPr>
        <w:pStyle w:val="[Normal]"/>
        <w:spacing w:line="360" w:lineRule="auto"/>
        <w:ind w:firstLine="1134"/>
        <w:jc w:val="both"/>
        <w:rPr>
          <w:lang w:val="es-AR" w:eastAsia="es-AR" w:bidi="es-AR"/>
        </w:rPr>
      </w:pPr>
      <w:r>
        <w:rPr>
          <w:lang w:val="es-AR" w:eastAsia="es-AR" w:bidi="es-AR"/>
        </w:rPr>
        <w:t xml:space="preserve">En fecha 14-5-2026 se dicta llamamiento de autos para sentencia, providencia que, firme a la fecha deja la causa en condiciones de ser  resuelta.-</w:t>
      </w:r>
    </w:p>
    <w:p>
      <w:pPr>
        <w:pStyle w:val="[Normal]"/>
        <w:spacing w:line="360" w:lineRule="auto"/>
        <w:ind w:firstLine="1134"/>
        <w:jc w:val="both"/>
        <w:rPr>
          <w:lang w:val="es-AR" w:eastAsia="es-AR" w:bidi="es-AR"/>
        </w:rPr>
      </w:pPr>
      <w:r>
        <w:rPr>
          <w:lang w:val="es-AR" w:eastAsia="es-AR" w:bidi="es-AR"/>
        </w:rPr>
        <w:t xml:space="preserve">Centra su crítica la actora en el rechazo del rubro daños materiales, reclamado por la diferencia existente entre la indemnización percibida de su aseguradora por la destrucción total del vehículo y el valor de mercado de una unidad de similares características al momento de su percepción.-</w:t>
      </w:r>
    </w:p>
    <w:p>
      <w:pPr>
        <w:pStyle w:val="[Normal]"/>
        <w:spacing w:line="360" w:lineRule="auto"/>
        <w:ind w:firstLine="1134"/>
        <w:jc w:val="both"/>
        <w:rPr>
          <w:lang w:val="es-AR" w:eastAsia="es-AR" w:bidi="es-AR"/>
        </w:rPr>
      </w:pPr>
      <w:r>
        <w:rPr>
          <w:lang w:val="es-AR" w:eastAsia="es-AR" w:bidi="es-AR"/>
        </w:rPr>
        <w:t xml:space="preserve">Sostiene que la sentencia carece de fundamentación suficiente y aplica erróneamente la doctrina del precedente “Leidi”, al equiparar la suma abonada por la aseguradora en cumplimiento del contrato de seguro con la íntegra reparación del daño sufrido.-</w:t>
      </w:r>
    </w:p>
    <w:p>
      <w:pPr>
        <w:pStyle w:val="[Normal]"/>
        <w:spacing w:line="360" w:lineRule="auto"/>
        <w:ind w:firstLine="1134"/>
        <w:jc w:val="both"/>
        <w:rPr>
          <w:lang w:val="es-AR" w:eastAsia="es-AR" w:bidi="es-AR"/>
        </w:rPr>
      </w:pPr>
      <w:r>
        <w:rPr>
          <w:lang w:val="es-AR" w:eastAsia="es-AR" w:bidi="es-AR"/>
        </w:rPr>
        <w:t xml:space="preserve"> Afirma que se encuentra acreditado que el importe percibido resultó insuficiente para adquirir un vehículo equivalente al siniestrado, por lo que la diferencia reclamada integra el perjuicio resarcible a cargo de los demandados.-</w:t>
      </w:r>
    </w:p>
    <w:p>
      <w:pPr>
        <w:pStyle w:val="[Normal]"/>
        <w:spacing w:line="360" w:lineRule="auto"/>
        <w:ind w:firstLine="1134"/>
        <w:jc w:val="both"/>
        <w:rPr>
          <w:lang w:val="es-AR" w:eastAsia="es-AR" w:bidi="es-AR"/>
        </w:rPr>
      </w:pPr>
      <w:r>
        <w:rPr>
          <w:lang w:val="es-AR" w:eastAsia="es-AR" w:bidi="es-AR"/>
        </w:rPr>
        <w:t xml:space="preserve">Por ello, solicita la revocación del pronunciamiento en cuanto ha sido materia de agravio y, en consecuencia, se admita el rubro reclamado mediante el reconocimiento de la diferencia pretendida, con más sus intereses y costas.</w:t>
      </w:r>
    </w:p>
    <w:p>
      <w:pPr>
        <w:pStyle w:val="[Normal]"/>
        <w:spacing w:line="360" w:lineRule="auto"/>
        <w:ind w:firstLine="1134"/>
        <w:jc w:val="both"/>
        <w:rPr>
          <w:lang w:val="es-AR" w:eastAsia="es-AR" w:bidi="es-AR"/>
        </w:rPr>
      </w:pPr>
      <w:r>
        <w:rPr>
          <w:lang w:val="es-AR" w:eastAsia="es-AR" w:bidi="es-AR"/>
        </w:rPr>
        <w:t xml:space="preserve">A su turno, la citada en garantía rebate los argumentos expuestos y solicita el rechazo del recurso de apelación con costas.-</w:t>
      </w:r>
    </w:p>
    <w:p>
      <w:pPr>
        <w:pStyle w:val="[Normal]"/>
        <w:spacing w:line="360" w:lineRule="auto"/>
        <w:ind w:firstLine="1134"/>
        <w:jc w:val="both"/>
        <w:rPr>
          <w:color w:val="000000"/>
          <w:lang w:val="es-AR" w:eastAsia="es-AR" w:bidi="es-AR"/>
        </w:rPr>
      </w:pPr>
      <w:r>
        <w:rPr>
          <w:color w:val="000000"/>
          <w:lang w:val="es-AR" w:eastAsia="es-AR" w:bidi="es-AR"/>
        </w:rPr>
        <w:t xml:space="preserve">Entrando a resolver, la parte actora cuestiona el rechazo del rubro reclamado en concepto de diferencia entre la suma percibida de su propia aseguradora con motivo de la destrucción total del vehículo y el valor que según sostiene, correspondía asignarle al rodado cuya diferencia pretende ahora de la aseguradora demandada.-</w:t>
      </w:r>
    </w:p>
    <w:p>
      <w:pPr>
        <w:pStyle w:val="[Normal]"/>
        <w:spacing w:line="360" w:lineRule="auto"/>
        <w:ind w:firstLine="1134"/>
        <w:jc w:val="both"/>
        <w:rPr>
          <w:color w:val="000000"/>
          <w:lang w:val="es-AR" w:eastAsia="es-AR" w:bidi="es-AR"/>
        </w:rPr>
      </w:pPr>
      <w:r>
        <w:rPr>
          <w:color w:val="000000"/>
          <w:lang w:val="es-AR" w:eastAsia="es-AR" w:bidi="es-AR"/>
        </w:rPr>
        <w:t xml:space="preserve">Adelanto que el agravio esgrimido por la recurrente no puede prosperar por las razones que seguidamente paso a exponer.-</w:t>
      </w:r>
    </w:p>
    <w:p>
      <w:pPr>
        <w:pStyle w:val="[Normal]"/>
        <w:spacing w:line="360" w:lineRule="auto"/>
        <w:ind w:firstLine="1134"/>
        <w:jc w:val="both"/>
        <w:rPr>
          <w:color w:val="000000"/>
          <w:lang w:val="es-AR" w:eastAsia="es-AR" w:bidi="es-AR"/>
        </w:rPr>
      </w:pPr>
      <w:r>
        <w:rPr>
          <w:color w:val="000000"/>
          <w:lang w:val="es-AR" w:eastAsia="es-AR" w:bidi="es-AR"/>
        </w:rPr>
        <w:t xml:space="preserve">No se encuentra controvertido que el vehículo Volkswagen Vento, dominio OWW770 sufrió destrucción total como consecuencia del accidente, ni que en virtud de la cobertura contratada, la aseguradora abonó al actor y a la acreedora prendaria la suma total de $2.216.000.-</w:t>
      </w:r>
    </w:p>
    <w:p>
      <w:pPr>
        <w:pStyle w:val="[Normal]"/>
        <w:spacing w:line="360" w:lineRule="auto"/>
        <w:ind w:firstLine="1134"/>
        <w:jc w:val="both"/>
        <w:rPr>
          <w:color w:val="000000"/>
          <w:lang w:val="es-AR" w:eastAsia="es-AR" w:bidi="es-AR"/>
        </w:rPr>
      </w:pPr>
      <w:r>
        <w:rPr>
          <w:color w:val="000000"/>
          <w:lang w:val="es-AR" w:eastAsia="es-AR" w:bidi="es-AR"/>
        </w:rPr>
        <w:t xml:space="preserve">El pago constituye uno de los modos de extinción de las obligaciones y cuando la prestación es íntegramente satisfecha y recibida por el acreedor sin objeción alguna produce el efecto liberatorio correspondiente (arts. 865 y ccdtes. del CCyC).-</w:t>
      </w:r>
    </w:p>
    <w:p>
      <w:pPr>
        <w:pStyle w:val="[Normal]"/>
        <w:spacing w:line="360" w:lineRule="auto"/>
        <w:ind w:firstLine="1134"/>
        <w:jc w:val="both"/>
        <w:rPr>
          <w:color w:val="000000"/>
          <w:lang w:val="es-AR" w:eastAsia="es-AR" w:bidi="es-AR"/>
        </w:rPr>
      </w:pPr>
      <w:r>
        <w:rPr>
          <w:color w:val="000000"/>
          <w:lang w:val="es-AR" w:eastAsia="es-AR" w:bidi="es-AR"/>
        </w:rPr>
        <w:t xml:space="preserve">Ahora bien, aun cuando la obligación asumida por la aseguradora del propio damnificado y la obligación resarcitoria a cargo del responsable civil reconozcan fuentes jurídicas diferentes ambas se encuentran vinculadas a la satisfacción de un mismo interés del acreedor: la reparación de las consecuencias patrimoniales derivadas de la destrucción del rodado. Se trata, por ello, de obligaciones concurrentes en los términos de los arts. 850 y siguientes del CCyC.-</w:t>
      </w:r>
    </w:p>
    <w:p>
      <w:pPr>
        <w:pStyle w:val="[Normal]"/>
        <w:spacing w:line="360" w:lineRule="auto"/>
        <w:ind w:firstLine="1134"/>
        <w:jc w:val="both"/>
        <w:rPr>
          <w:color w:val="000000"/>
          <w:lang w:val="es-AR" w:eastAsia="es-AR" w:bidi="es-AR"/>
        </w:rPr>
      </w:pPr>
      <w:r>
        <w:rPr>
          <w:color w:val="000000"/>
          <w:lang w:val="es-AR" w:eastAsia="es-AR" w:bidi="es-AR"/>
        </w:rPr>
        <w:t xml:space="preserve">En este marco, adquiere particular relevancia lo dispuesto por el art. 851 inc. b) del CCyC, conforme al cual la extinción de la obligación de uno de los deudores concurrentes produce la extinción de las obligaciones de los otros en la medida de lo satisfecho. Ello responde precisamente a la naturaleza de esta clase de obligaciones, en las que, pese a existir pluralidad de deudores y diversidad de causas, el acreedor sólo puede obtener una única satisfacción respecto del mismo objeto.-</w:t>
      </w:r>
    </w:p>
    <w:p>
      <w:pPr>
        <w:pStyle w:val="[Normal]"/>
        <w:spacing w:line="360" w:lineRule="auto"/>
        <w:ind w:firstLine="1134"/>
        <w:jc w:val="both"/>
        <w:rPr>
          <w:color w:val="000000"/>
          <w:lang w:val="es-AR" w:eastAsia="es-AR" w:bidi="es-AR"/>
        </w:rPr>
      </w:pPr>
      <w:r>
        <w:rPr>
          <w:color w:val="000000"/>
          <w:lang w:val="es-AR" w:eastAsia="es-AR" w:bidi="es-AR"/>
        </w:rPr>
        <w:t xml:space="preserve">La norma contempla precisamente aquellos supuestos en los que, pese a existir pluralidad de deudores y diversidad de fuentes, las distintas obligaciones se encuentran encaminadas a satisfacer un mismo interés del acreedor. De allí que este último no pueda obtener una doble satisfacción por un único perjuicio, aunque sí pueda reclamar aquello que, en su caso, hubiera quedado efectivamente insatisfecho.</w:t>
      </w:r>
    </w:p>
    <w:p>
      <w:pPr>
        <w:pStyle w:val="[Normal]"/>
        <w:spacing w:line="360" w:lineRule="auto"/>
        <w:ind w:firstLine="1134"/>
        <w:jc w:val="both"/>
        <w:rPr>
          <w:color w:val="000000"/>
          <w:lang w:val="es-AR" w:eastAsia="es-AR" w:bidi="es-AR"/>
        </w:rPr>
      </w:pPr>
      <w:r>
        <w:rPr>
          <w:color w:val="000000"/>
          <w:lang w:val="es-AR" w:eastAsia="es-AR" w:bidi="es-AR"/>
        </w:rPr>
        <w:t xml:space="preserve">Desde esta perspectiva, el pago efectuado por la aseguradora del actor resulta relevante para determinar la subsistencia y eventualmente, el alcance de la obligación resarcitoria a cargo de los responsables civiles. Pero dado que el efecto extintivo opera en la medida de lo satisfecho, correspondía a la parte actora acreditar que, pese a la suma percibida, subsistía un daño patrimonial cierto que permanecía sin reparación. </w:t>
      </w:r>
    </w:p>
    <w:p>
      <w:pPr>
        <w:pStyle w:val="[Normal]"/>
        <w:spacing w:line="360" w:lineRule="auto"/>
        <w:ind w:firstLine="1134"/>
        <w:jc w:val="both"/>
        <w:rPr>
          <w:color w:val="000000"/>
          <w:lang w:val="es-AR" w:eastAsia="es-AR" w:bidi="es-AR"/>
        </w:rPr>
      </w:pPr>
      <w:r>
        <w:rPr>
          <w:color w:val="000000"/>
          <w:lang w:val="es-AR" w:eastAsia="es-AR" w:bidi="es-AR"/>
        </w:rPr>
        <w:t xml:space="preserve">Tal extremo no ha sido demostrado en autos.</w:t>
      </w:r>
    </w:p>
    <w:p>
      <w:pPr>
        <w:pStyle w:val="[Normal]"/>
        <w:spacing w:line="360" w:lineRule="auto"/>
        <w:ind w:firstLine="1134"/>
        <w:jc w:val="both"/>
        <w:rPr>
          <w:color w:val="000000"/>
          <w:lang w:val="es-AR" w:eastAsia="es-AR" w:bidi="es-AR"/>
        </w:rPr>
      </w:pPr>
      <w:r>
        <w:rPr>
          <w:color w:val="000000"/>
          <w:lang w:val="es-AR" w:eastAsia="es-AR" w:bidi="es-AR"/>
        </w:rPr>
        <w:t xml:space="preserve">La recurrente invoca una cotización de la Cámara de Comercio Automotor que establecía un valor de $2.539.000, frente a los $2.216.000 abonados, de donde surgiría una diferencia de $323.000. Sin embargo, la sola existencia de esa cotización no resulta suficiente, en las circunstancias del caso, para tener por acreditado que dicha diferencia represente efectivamente una porción del daño patrimonial sufrido que hubiera quedado sin satisfacer.</w:t>
      </w:r>
    </w:p>
    <w:p>
      <w:pPr>
        <w:pStyle w:val="[Normal]"/>
        <w:spacing w:line="360" w:lineRule="auto"/>
        <w:ind w:firstLine="1134"/>
        <w:jc w:val="both"/>
        <w:rPr>
          <w:color w:val="000000"/>
          <w:lang w:val="es-AR" w:eastAsia="es-AR" w:bidi="es-AR"/>
        </w:rPr>
      </w:pPr>
      <w:r>
        <w:rPr>
          <w:color w:val="000000"/>
          <w:lang w:val="es-AR" w:eastAsia="es-AR" w:bidi="es-AR"/>
        </w:rPr>
        <w:t xml:space="preserve">En efecto, una cotización o valor de referencia del mercado no demuestra por sí sola el efectivo valor de reposición del rodado concreto involucrado en el siniestro, ni que la suma percibida de la aseguradora haya resultado insuficiente para satisfacer el perjuicio cuya reparación se pretende. Para ello resultaba necesario contar con elementos que permitieran establecer con el grado de certeza exigible, el valor del vehículo siniestrado o de uno equivalente en la oportunidad relevante, atendiendo a sus características concretas.</w:t>
      </w:r>
    </w:p>
    <w:p>
      <w:pPr>
        <w:pStyle w:val="[Normal]"/>
        <w:spacing w:line="360" w:lineRule="auto"/>
        <w:ind w:firstLine="1134"/>
        <w:jc w:val="both"/>
        <w:rPr>
          <w:color w:val="000000"/>
          <w:lang w:val="es-AR" w:eastAsia="es-AR" w:bidi="es-AR"/>
        </w:rPr>
      </w:pPr>
      <w:r>
        <w:rPr>
          <w:color w:val="000000"/>
          <w:lang w:val="es-AR" w:eastAsia="es-AR" w:bidi="es-AR"/>
        </w:rPr>
        <w:t xml:space="preserve">Máxime cuando conforme surge de las constancias de la causa la propia aseguradora había determinado el valor del vehículo a partir de averiguaciones efectuadas en revistas especializadas, concesionarios oficiales y empresas revendedoras habituales, y el actor percibió el importe resultante sin formular objeción ni reserva respecto de su suficiencia.</w:t>
      </w:r>
    </w:p>
    <w:p>
      <w:pPr>
        <w:pStyle w:val="[Normal]"/>
        <w:spacing w:line="360" w:lineRule="auto"/>
        <w:ind w:firstLine="1134"/>
        <w:jc w:val="both"/>
        <w:rPr>
          <w:lang w:val="es-AR" w:eastAsia="es-AR" w:bidi="es-AR"/>
        </w:rPr>
      </w:pPr>
      <w:r>
        <w:rPr>
          <w:color w:val="000000"/>
          <w:lang w:val="es-AR" w:eastAsia="es-AR" w:bidi="es-AR"/>
        </w:rPr>
        <w:t xml:space="preserve">Esta última circunstancia no constituye por sí sola fundamento para considerar íntegramente extinguida la obligación de los responsables civiles, pero sí constituye un elemento relevante para valorar la conducta asumida por la parte actora y especialmente la ausencia de elementos que permitan demostrar que el pago recibido había dejado subsistente una porción concreta del perjuicio.</w:t>
      </w:r>
    </w:p>
    <w:p>
      <w:pPr>
        <w:pStyle w:val="[Normal]"/>
        <w:spacing w:line="360" w:lineRule="auto"/>
        <w:ind w:firstLine="1134"/>
        <w:jc w:val="both"/>
        <w:rPr>
          <w:color w:val="000000"/>
          <w:lang w:val="es-AR" w:eastAsia="es-AR" w:bidi="es-AR"/>
        </w:rPr>
      </w:pPr>
      <w:r>
        <w:rPr>
          <w:color w:val="000000"/>
          <w:lang w:val="es-AR" w:eastAsia="es-AR" w:bidi="es-AR"/>
        </w:rPr>
        <w:t xml:space="preserve">En otras palabras, no se trata de atribuir al contrato de seguro el efecto de impedir cualquier reclamo frente al responsable civil, sino de determinar conforme al régimen de las obligaciones concurrentes, qué parte del interés patrimonial comprometido permaneció insatisfecha luego del pago efectuado por uno de los obligados.</w:t>
      </w:r>
    </w:p>
    <w:p>
      <w:pPr>
        <w:pStyle w:val="[Normal]"/>
        <w:spacing w:line="360" w:lineRule="auto"/>
        <w:ind w:firstLine="1134"/>
        <w:jc w:val="both"/>
        <w:rPr>
          <w:color w:val="000000"/>
          <w:lang w:val="es-AR" w:eastAsia="es-AR" w:bidi="es-AR"/>
        </w:rPr>
      </w:pPr>
      <w:r>
        <w:rPr>
          <w:color w:val="000000"/>
          <w:lang w:val="es-AR" w:eastAsia="es-AR" w:bidi="es-AR"/>
        </w:rPr>
        <w:t xml:space="preserve">Esta solución tampoco importa desconocer el principio de reparación plena consagrado por el art. 1740 del CCyC. Este principio procura colocar a la persona damnificada en la situación patrimonial que corresponda de acuerdo con el daño efectivamente sufrido, pero no habilita a obtener una doble satisfacción ni releva a quien reclama de acreditar la existencia y cuantía del perjuicio cuya reparación pretende.</w:t>
      </w:r>
    </w:p>
    <w:p>
      <w:pPr>
        <w:pStyle w:val="[Normal]"/>
        <w:spacing w:line="360" w:lineRule="auto"/>
        <w:ind w:firstLine="1134"/>
        <w:jc w:val="both"/>
        <w:rPr>
          <w:color w:val="000000"/>
          <w:lang w:val="es-AR" w:eastAsia="es-AR" w:bidi="es-AR"/>
        </w:rPr>
      </w:pPr>
      <w:r>
        <w:rPr>
          <w:color w:val="000000"/>
          <w:lang w:val="es-AR" w:eastAsia="es-AR" w:bidi="es-AR"/>
        </w:rPr>
        <w:t xml:space="preserve">A ello se suma que la percepción del importe liquidado por la aseguradora se produjo sin que la parte actora formulara objeción o reserva alguna respecto de su suficiencia. Tal conducta debe ser valorada a la luz del principio de buena fe consagrado por el art. 9 del CCyC y de la doctrina de los actos propios, conforme a la cual nadie puede colocarse en contradicción con una conducta anterior jurídicamente relevante y eficaz (v. SCBA, "Carpinetti, Raúl Jorge c/Fisco de la Prov. de Buenos Aires s/Daños y perjuicios", 17/06/1993; ésta Cámara causas Nº 1962. RSD 84/2013 del 26-8-14, Nº 1426 RSD 181/2012 del 14/8-2014, N° 2959 del 20-12-2018 RSD 199/2018, entre otras).</w:t>
      </w:r>
    </w:p>
    <w:p>
      <w:pPr>
        <w:pStyle w:val="[Normal]"/>
        <w:spacing w:line="360" w:lineRule="auto"/>
        <w:ind w:firstLine="1134"/>
        <w:jc w:val="both"/>
        <w:rPr>
          <w:lang w:val="es-AR" w:eastAsia="es-AR" w:bidi="es-AR"/>
        </w:rPr>
      </w:pPr>
      <w:r>
        <w:rPr>
          <w:color w:val="000000"/>
          <w:lang w:val="es-AR" w:eastAsia="es-AR" w:bidi="es-AR"/>
        </w:rPr>
        <w:t xml:space="preserve">Por las razones expuestas, corresponde desestimar los agravios de la actora y confirmar la sentencia apelada en cuanto rechazó el reclamo de la diferencia pretendida, con costas de Alzada a la recurrente vencida (arts. 68/69 del CPCC).-</w:t>
      </w:r>
    </w:p>
    <w:p>
      <w:pPr>
        <w:pStyle w:val="[Normal]"/>
        <w:spacing w:line="360" w:lineRule="auto"/>
        <w:ind w:firstLine="1134"/>
        <w:jc w:val="both"/>
        <w:rPr>
          <w:lang w:val="es-AR" w:eastAsia="es-AR" w:bidi="es-AR"/>
        </w:rPr>
      </w:pPr>
      <w:r>
        <w:rPr>
          <w:lang w:val="es-AR" w:eastAsia="es-AR" w:bidi="es-AR"/>
        </w:rPr>
        <w:t xml:space="preserve">Por las razones dadas, citas legales de referencia y con el alcance indicado,</w:t>
      </w:r>
    </w:p>
    <w:p>
      <w:pPr>
        <w:pStyle w:val="[Normal]"/>
        <w:spacing w:line="360" w:lineRule="auto"/>
        <w:ind w:firstLine="1134"/>
        <w:jc w:val="both"/>
        <w:rPr>
          <w:lang w:val="es-AR" w:eastAsia="es-AR" w:bidi="es-AR"/>
        </w:rPr>
      </w:pPr>
      <w:r>
        <w:rPr>
          <w:b/>
          <w:lang w:val="es-AR" w:eastAsia="es-AR" w:bidi="es-AR"/>
        </w:rPr>
        <w:t xml:space="preserve">VOTO POR LA AFIRMATIVA.</w:t>
      </w:r>
    </w:p>
    <w:p>
      <w:pPr>
        <w:pStyle w:val="[Normal]"/>
        <w:spacing w:line="360" w:lineRule="auto"/>
        <w:ind w:firstLine="1134"/>
        <w:jc w:val="both"/>
        <w:rPr>
          <w:lang w:val="es-AR" w:eastAsia="es-AR" w:bidi="es-AR"/>
        </w:rPr>
      </w:pPr>
      <w:r>
        <w:rPr>
          <w:lang w:val="es-AR" w:eastAsia="es-AR" w:bidi="es-AR"/>
        </w:rPr>
        <w:t xml:space="preserve">A la misma cuestión la señora Jueza Graciela Scaraffia por análogos fundamentos votó en el mismo sentido.-</w:t>
      </w:r>
    </w:p>
    <w:p>
      <w:pPr>
        <w:pStyle w:val="[Normal]"/>
        <w:spacing w:line="360" w:lineRule="auto"/>
        <w:ind w:firstLine="1134"/>
        <w:jc w:val="both"/>
        <w:rPr>
          <w:lang w:val="es-AR" w:eastAsia="es-AR" w:bidi="es-AR"/>
        </w:rPr>
      </w:pPr>
      <w:r>
        <w:rPr>
          <w:lang w:val="es-AR" w:eastAsia="es-AR" w:bidi="es-AR"/>
        </w:rPr>
        <w:t xml:space="preserve">A la segunda cuestión el señor Juez Roberto Degleue dijo: de conformidad al resultado habido al tratarse la cuestión precedente, estimo que el pronunciamiento que corresponde dictar es: </w:t>
      </w:r>
    </w:p>
    <w:p>
      <w:pPr>
        <w:pStyle w:val="[Normal]"/>
        <w:spacing w:line="360" w:lineRule="auto"/>
        <w:ind w:firstLine="1134"/>
        <w:jc w:val="both"/>
        <w:rPr>
          <w:lang w:val="es-AR" w:eastAsia="es-AR" w:bidi="es-AR"/>
        </w:rPr>
      </w:pPr>
      <w:r>
        <w:rPr>
          <w:lang w:val="es-AR" w:eastAsia="es-AR" w:bidi="es-AR"/>
        </w:rPr>
        <w:t xml:space="preserve">Rechazar el recurso de apelación deducido por la actora y en consecuencia confirmar el fallo apelado en lo que fuera materia de agravios.-</w:t>
      </w:r>
    </w:p>
    <w:p>
      <w:pPr>
        <w:pStyle w:val="[Normal]"/>
        <w:spacing w:line="360" w:lineRule="auto"/>
        <w:ind w:firstLine="1134"/>
        <w:jc w:val="both"/>
        <w:rPr>
          <w:lang w:val="es-AR" w:eastAsia="es-AR" w:bidi="es-AR"/>
        </w:rPr>
      </w:pPr>
      <w:r>
        <w:rPr>
          <w:lang w:val="es-AR" w:eastAsia="es-AR" w:bidi="es-AR"/>
        </w:rPr>
        <w:t xml:space="preserve">Imponer costas de Alzada a la actora vencida (art. 68/9 CPCC).-</w:t>
      </w:r>
    </w:p>
    <w:p>
      <w:pPr>
        <w:pStyle w:val="[Normal]"/>
        <w:spacing w:line="360" w:lineRule="auto"/>
        <w:ind w:firstLine="1134"/>
        <w:jc w:val="both"/>
        <w:rPr>
          <w:lang w:val="es-AR" w:eastAsia="es-AR" w:bidi="es-AR"/>
        </w:rPr>
      </w:pPr>
      <w:r>
        <w:rPr>
          <w:lang w:val="es-AR" w:eastAsia="es-AR" w:bidi="es-AR"/>
        </w:rPr>
        <w:t xml:space="preserve">Diferir la regulación de honorarios para su oportunidad (Art. 31 ley 14.967).-</w:t>
      </w:r>
    </w:p>
    <w:p>
      <w:pPr>
        <w:pStyle w:val="[Normal]"/>
        <w:spacing w:line="360" w:lineRule="auto"/>
        <w:ind w:firstLine="1134"/>
        <w:jc w:val="both"/>
        <w:rPr>
          <w:lang w:val="es-AR" w:eastAsia="es-AR" w:bidi="es-AR"/>
        </w:rPr>
      </w:pPr>
      <w:r>
        <w:rPr>
          <w:b/>
          <w:lang w:val="es-AR" w:eastAsia="es-AR" w:bidi="es-AR"/>
        </w:rPr>
        <w:t xml:space="preserve">ASÍ LO VOTO. </w:t>
      </w:r>
    </w:p>
    <w:p>
      <w:pPr>
        <w:pStyle w:val="[Normal]"/>
        <w:spacing w:line="360" w:lineRule="auto"/>
        <w:ind w:firstLine="1134"/>
        <w:jc w:val="both"/>
        <w:rPr>
          <w:lang w:val="es-AR" w:eastAsia="es-AR" w:bidi="es-AR"/>
        </w:rPr>
      </w:pPr>
      <w:r>
        <w:rPr>
          <w:lang w:val="es-AR" w:eastAsia="es-AR" w:bidi="es-AR"/>
        </w:rPr>
        <w:t xml:space="preserve">A la misma cuestión la señora Jueza Graciela Scaraffia por análogos fundamentos votó en el mismo sentido.-</w:t>
      </w:r>
    </w:p>
    <w:p>
      <w:pPr>
        <w:pStyle w:val="[Normal]"/>
        <w:spacing w:line="360" w:lineRule="auto"/>
        <w:ind w:firstLine="1134"/>
        <w:jc w:val="both"/>
        <w:rPr>
          <w:lang w:val="es-AR" w:eastAsia="es-AR" w:bidi="es-AR"/>
        </w:rPr>
      </w:pPr>
      <w:r>
        <w:rPr>
          <w:lang w:val="es-AR" w:eastAsia="es-AR" w:bidi="es-AR"/>
        </w:rPr>
        <w:t xml:space="preserve">Con lo que terminó el presente Acuerdo, dictándose la siguiente;</w:t>
      </w:r>
    </w:p>
    <w:p>
      <w:pPr>
        <w:pStyle w:val="[Normal]"/>
        <w:spacing w:line="360" w:lineRule="auto"/>
        <w:ind w:firstLine="1134"/>
        <w:jc w:val="both"/>
        <w:rPr>
          <w:b/>
          <w:u w:val="single"/>
          <w:lang w:val="es-AR" w:eastAsia="es-AR" w:bidi="es-AR"/>
        </w:rPr>
      </w:pPr>
      <w:r>
        <w:rPr>
          <w:b/>
          <w:u w:val="single"/>
          <w:lang w:val="es-AR" w:eastAsia="es-AR" w:bidi="es-AR"/>
        </w:rPr>
        <w:t xml:space="preserve">S E N T E N C I A</w:t>
      </w:r>
      <w:r>
        <w:rPr>
          <w:u w:val="single"/>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Rechazar el recurso de apelación deducido por la actora y en consecuencia confirmar el fallo apelado en lo que fuera materia de agravios.-</w:t>
      </w:r>
    </w:p>
    <w:p>
      <w:pPr>
        <w:pStyle w:val="[Normal]"/>
        <w:spacing w:line="360" w:lineRule="auto"/>
        <w:ind w:firstLine="1134"/>
        <w:jc w:val="both"/>
        <w:rPr>
          <w:lang w:val="es-AR" w:eastAsia="es-AR" w:bidi="es-AR"/>
        </w:rPr>
      </w:pPr>
      <w:r>
        <w:rPr>
          <w:lang w:val="es-AR" w:eastAsia="es-AR" w:bidi="es-AR"/>
        </w:rPr>
        <w:t xml:space="preserve">Imponer costas de Alzada a la actora vencida (art. 68/9 CPCC).-</w:t>
      </w:r>
    </w:p>
    <w:p>
      <w:pPr>
        <w:pStyle w:val="[Normal]"/>
        <w:spacing w:line="360" w:lineRule="auto"/>
        <w:ind w:firstLine="1134"/>
        <w:jc w:val="both"/>
        <w:rPr>
          <w:lang w:val="es-AR" w:eastAsia="es-AR" w:bidi="es-AR"/>
        </w:rPr>
      </w:pPr>
      <w:r>
        <w:rPr>
          <w:lang w:val="es-AR" w:eastAsia="es-AR" w:bidi="es-AR"/>
        </w:rPr>
        <w:t xml:space="preserve">Diferir la regulación de honorarios para su oportunidad (Art. 31 ley 14.967).-</w:t>
      </w:r>
    </w:p>
    <w:p>
      <w:pPr>
        <w:pStyle w:val="[Normal]"/>
        <w:spacing w:line="360" w:lineRule="auto"/>
        <w:ind w:firstLine="1134"/>
        <w:jc w:val="both"/>
        <w:rPr>
          <w:color w:val="000000"/>
          <w:lang w:val="es-AR" w:eastAsia="es-AR" w:bidi="es-AR"/>
        </w:rPr>
      </w:pPr>
      <w:r>
        <w:rPr>
          <w:lang w:val="es-AR" w:eastAsia="es-AR" w:bidi="es-AR"/>
        </w:rPr>
        <w:t xml:space="preserve">Regístrese. Notifíquese por Secretaría (Ac. 4013 y mod. SCBA) remitiéndose copia digital de la presente sentencia a los domicilios electrónicos de las respectivas partes. Devuélvase.</w:t>
      </w:r>
    </w:p>
    <w:p>
      <w:pPr>
        <w:pStyle w:val="[Normal]"/>
        <w:spacing w:line="480" w:lineRule="auto"/>
        <w:ind w:firstLine="1134"/>
        <w:jc w:val="both"/>
        <w:rPr>
          <w:color w:val="000000"/>
          <w:lang w:val="es-AR" w:eastAsia="es-AR" w:bidi="es-AR"/>
        </w:rPr>
      </w:pPr>
    </w:p>
    <w:p>
      <w:pPr>
        <w:pStyle w:val="[Normal]"/>
        <w:spacing w:line="480" w:lineRule="auto"/>
        <w:ind w:firstLine="1134"/>
        <w:jc w:val="both"/>
        <w:rPr>
          <w:color w:val="000000"/>
          <w:lang w:val="es-AR" w:eastAsia="es-AR" w:bidi="es-AR"/>
        </w:rPr>
      </w:pPr>
    </w:p>
    <w:p>
      <w:pPr>
        <w:pStyle w:val="[Normal]"/>
        <w:spacing w:line="480" w:lineRule="auto"/>
        <w:ind w:firstLine="1134"/>
        <w:jc w:val="both"/>
        <w:rPr>
          <w:color w:val="000000"/>
          <w:lang w:val="es-AR" w:eastAsia="es-AR" w:bidi="es-AR"/>
        </w:rPr>
      </w:pPr>
      <w:r>
        <w:rPr>
          <w:color w:val="000000"/>
          <w:lang w:val="es-AR" w:eastAsia="es-AR" w:bidi="es-AR"/>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REFERENCIAS: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03/09/2026 11:54:36 - SCARAFFIA Graciela Hilda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03/09/2026 12:01:29 - DEGLEUE Roberto Manuel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03/09/2026 12:07:20 - PELUSA Juan Cruz - AUXILIAR LETRADO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336" w:after="336"/>
        <w:rPr>
          <w:rFonts w:ascii="BarCode 128" w:hAnsi="BarCode 128" w:eastAsia="BarCode 128" w:cs="BarCode 128"/>
          <w:sz w:val="60"/>
          <w:lang w:val="es-AR" w:eastAsia="es-AR" w:bidi="es-AR"/>
        </w:rPr>
      </w:pPr>
      <w:r>
        <w:rPr>
          <w:rFonts w:ascii="BarCode 128" w:hAnsi="BarCode 128" w:eastAsia="BarCode 128" w:cs="BarCode 128"/>
          <w:sz w:val="60"/>
          <w:lang w:val="es-AR" w:eastAsia="es-AR" w:bidi="es-AR"/>
        </w:rPr>
        <w:t xml:space="preserve">‰8*")è&amp;ÀjI†Š</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12" w:after="112"/>
        <w:rPr>
          <w:sz w:val="20"/>
          <w:lang w:val="es-AR" w:eastAsia="es-AR" w:bidi="es-AR"/>
        </w:rPr>
      </w:pPr>
      <w:r>
        <w:rPr>
          <w:sz w:val="20"/>
          <w:lang w:val="es-AR" w:eastAsia="es-AR" w:bidi="es-AR"/>
        </w:rPr>
        <w:t xml:space="preserve">241002090006957441</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lang w:val="es-AR" w:eastAsia="es-AR" w:bidi="es-AR"/>
        </w:rPr>
        <w:t xml:space="preserve">CAMARA DE APELACION EN LO CIVIL Y COMERCIAL PERGAMINO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NO CONTIENE ARCHIVOS ADJUNTOS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Registrado en REGISTRO DE SENTENCIAS el 03/09/2026 12:07:49 hs. bajo el número RS-135-2026 por PELUSA JUAN.</w:t>
      </w:r>
    </w:p>
    <w:p>
      <w:pPr>
        <w:pStyle w:val="[Normal]"/>
        <w:rPr>
          <w:lang w:val="es-AR" w:eastAsia="es-AR" w:bidi="es-AR"/>
        </w:rPr>
      </w:pPr>
    </w:p>
    <w:sectPr>
      <w:pgSz w:w="11906" w:h="16832"/>
      <w:pgMar w:top="2835" w:right="850" w:bottom="1134" w:left="2835"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BarCode 128">
    <w:charset w:val="00"/>
    <w:family w:val="auto"/>
    <w:pitch w:val="variable"/>
  </w:font>
</w:fonts>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bordersDoNotSurroundFooter/>
  <w:defaultTabStop w:val="1134"/>
  <w:compat>
    <w:noExtraLineSpacing/>
  </w:compat>
  <tx24:txVer tx24:val="25.0.323.500"/>
</w:settings>
</file>

<file path=word/styles.xml><?xml version="1.0" encoding="utf-8"?>
<w:styles xmlns:w="http://schemas.openxmlformats.org/wordprocessingml/2006/main">
  <w:docDefaults>
    <w:rPrDefault>
      <w:rPr>
        <w:rFonts w:ascii="Arial"/>
        <w:sz w:val="24"/>
      </w:rPr>
    </w:rPrDefault>
  </w:docDefault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position w:val="0"/>
      <w:sz w:val="24"/>
      <w:szCs w:val="24"/>
      <w:shd w:val="clear" w:color="auto" w:fill="auto"/>
      <w:rtl w:val="off"/>
      <w:lang w:val="x-none" w:eastAsia="x-none" w:bidi="x-none"/>
    </w:rPr>
  </w:style>
  <w:style w:type="paragraph" w:styleId="BODY">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tyle>
  <w:style w:type="character" w:styleId="B">
    <w:name w:val="B"/>
    <w:qFormat/>
    <w:rPr>
      <w:b/>
      <w:bCs/>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3" Type="http://schemas.openxmlformats.org/officeDocument/2006/relationships/fontTable" Target="fontTable.xml"/>
	<Relationship Id="rId00004" Type="http://schemas.openxmlformats.org/officeDocument/2006/relationships/settings" Target="settings.xml"/>
</Relationships>
</file>