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jpg" ContentType="image/jpeg"/>
  <Default Extension="bmp" ContentType="image/x-bmp"/>
  <Default Extension="gif" ContentType="image/gif"/>
  <Default Extension="png" ContentType="image/png"/>
  <Default Extension="tiff" ContentType="image/tiff"/>
  <Default Extension="tif" ContentType="image/tiff"/>
  <Default Extension="wmf" ContentType="image/x-wmf"/>
  <Default Extension="emf" ContentType="image/x-emf"/>
  <Default Extension="wdp" ContentType="image/vnd.ms-photo"/>
  <Default Extension="jxr" ContentType="image/vnd.ms-photo"/>
  <Default Extension="bin" ContentType="application/vnd.openxmlformats-officedocument.oleObject"/>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standalone="yes"?><Relationships xmlns="http://schemas.openxmlformats.org/package/2006/relationships">
	<Relationship Id="rId00001" Type="http://schemas.openxmlformats.org/officeDocument/2006/relationships/officeDocument" Target="word/document.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wpc="http://schemas.microsoft.com/office/word/2010/wordprocessingCanvas" xmlns:wpg="http://schemas.microsoft.com/office/word/2010/wordprocessingGroup" xmlns:wps="http://schemas.microsoft.com/office/word/2010/wordprocessingShape" xmlns:mc="http://schemas.openxmlformats.org/markup-compatibility/2006" xmlns:w14="http://schemas.microsoft.com/office/word/2010/wordml" xmlns:w15="http://schemas.microsoft.com/office/word/2012/wordml" xmlns:tx19="http://schemas.textcontrol.com/tx/1900" xmlns:tx23="http://schemas.textcontrol.com/tx/2300" mc:Ignorable="w14 w15 tx19 tx23">
  <w:body>
    <w:p>
      <w:pPr>
        <w:pStyle w:val="[Normal]"/>
        <w:spacing w:line="360" w:lineRule="auto"/>
        <w:ind w:firstLine="1134"/>
        <w:jc w:val="both"/>
        <w:rPr>
          <w:lang w:val="es-AR" w:eastAsia="es-AR" w:bidi="es-AR"/>
        </w:rPr>
      </w:pPr>
      <w:r>
        <w:rPr>
          <w:lang w:val="es-AR" w:eastAsia="es-AR" w:bidi="es-AR"/>
        </w:rPr>
        <w:t xml:space="preserve"> En la ciudad de Pergamino, reunidos en Acuerdo Ordinario los Sres. Jueces de la Excma. Cámara de Apelación en lo Civil y Comercial del Departamento Judicial Pergamino, para dictar sentencia en la causa N° </w:t>
      </w:r>
      <w:r>
        <w:rPr>
          <w:color w:val="000000"/>
          <w:lang w:val="es-AR" w:eastAsia="es-AR" w:bidi="es-AR"/>
        </w:rPr>
        <w:t xml:space="preserve">6026-26</w:t>
      </w:r>
      <w:r>
        <w:rPr>
          <w:lang w:val="es-AR" w:eastAsia="es-AR" w:bidi="es-AR"/>
        </w:rPr>
        <w:t xml:space="preserve"> caratulada </w:t>
      </w:r>
      <w:r>
        <w:rPr>
          <w:b/>
          <w:lang w:val="es-AR" w:eastAsia="es-AR" w:bidi="es-AR"/>
        </w:rPr>
        <w:t xml:space="preserve">"</w:t>
      </w:r>
      <w:r>
        <w:rPr>
          <w:b/>
          <w:color w:val="000000"/>
          <w:lang w:val="es-AR" w:eastAsia="es-AR" w:bidi="es-AR"/>
        </w:rPr>
        <w:t xml:space="preserve">MONTAÑO MARIA VICTORIA C/ ROBLEDO DANIEL Y OTROS S/ DAÑOS Y PERJ.AUTOM. C/LES. O MUERTE (EXC.ESTADO)</w:t>
      </w:r>
      <w:r>
        <w:rPr>
          <w:b/>
          <w:lang w:val="es-AR" w:eastAsia="es-AR" w:bidi="es-AR"/>
        </w:rPr>
        <w:t xml:space="preserve">"</w:t>
      </w:r>
      <w:r>
        <w:rPr>
          <w:lang w:val="es-AR" w:eastAsia="es-AR" w:bidi="es-AR"/>
        </w:rPr>
        <w:t xml:space="preserve">, Expte. </w:t>
      </w:r>
      <w:r>
        <w:rPr>
          <w:color w:val="000000"/>
          <w:lang w:val="es-AR" w:eastAsia="es-AR" w:bidi="es-AR"/>
        </w:rPr>
        <w:t xml:space="preserve">64.899</w:t>
      </w:r>
      <w:r>
        <w:rPr>
          <w:color w:val="000000"/>
          <w:lang w:val="es-AR" w:eastAsia="es-AR" w:bidi="es-AR"/>
        </w:rPr>
        <w:t xml:space="preserve"> </w:t>
      </w:r>
      <w:r>
        <w:rPr>
          <w:lang w:val="es-AR" w:eastAsia="es-AR" w:bidi="es-AR"/>
        </w:rPr>
        <w:t xml:space="preserve">del Juzgado en lo Civil y Comercial N° 3, se practicó el sorteo de ley que determinó que la votación debía efectuarse en el siguiente orden: Graciela Scaraffia y Roberto Degleue, y estudiados los autos se resolvió plantear y votar las siguientes: </w:t>
      </w:r>
    </w:p>
    <w:p>
      <w:pPr>
        <w:pStyle w:val="[Normal]"/>
        <w:spacing w:line="360" w:lineRule="auto"/>
        <w:ind w:firstLine="1134"/>
        <w:jc w:val="both"/>
        <w:rPr>
          <w:lang w:val="es-AR" w:eastAsia="es-AR" w:bidi="es-AR"/>
        </w:rPr>
      </w:pPr>
      <w:r>
        <w:rPr>
          <w:b/>
          <w:lang w:val="es-AR" w:eastAsia="es-AR" w:bidi="es-AR"/>
        </w:rPr>
        <w:t xml:space="preserve">C U E S T I O N E S</w:t>
      </w:r>
      <w:r>
        <w:rPr>
          <w:lang w:val="es-AR" w:eastAsia="es-AR" w:bidi="es-AR"/>
        </w:rPr>
        <w:t xml:space="preserve">:</w:t>
      </w:r>
    </w:p>
    <w:p>
      <w:pPr>
        <w:pStyle w:val="[Normal]"/>
        <w:spacing w:line="360" w:lineRule="auto"/>
        <w:ind w:firstLine="1134"/>
        <w:jc w:val="both"/>
        <w:rPr>
          <w:lang w:val="es-AR" w:eastAsia="es-AR" w:bidi="es-AR"/>
        </w:rPr>
      </w:pPr>
      <w:r>
        <w:rPr>
          <w:lang w:val="es-AR" w:eastAsia="es-AR" w:bidi="es-AR"/>
        </w:rPr>
        <w:t xml:space="preserve">I) ¿Se ajusta a derecho la sentencia apelada?</w:t>
      </w:r>
    </w:p>
    <w:p>
      <w:pPr>
        <w:pStyle w:val="[Normal]"/>
        <w:spacing w:line="360" w:lineRule="auto"/>
        <w:ind w:firstLine="1134"/>
        <w:jc w:val="both"/>
        <w:rPr>
          <w:lang w:val="es-AR" w:eastAsia="es-AR" w:bidi="es-AR"/>
        </w:rPr>
      </w:pPr>
      <w:r>
        <w:rPr>
          <w:lang w:val="es-AR" w:eastAsia="es-AR" w:bidi="es-AR"/>
        </w:rPr>
        <w:t xml:space="preserve">II) ¿Qué pronunciamiento corresponde dictar?</w:t>
      </w:r>
    </w:p>
    <w:p>
      <w:pPr>
        <w:pStyle w:val="[Normal]"/>
        <w:spacing w:line="360" w:lineRule="auto"/>
        <w:ind w:firstLine="1134"/>
        <w:jc w:val="both"/>
        <w:rPr>
          <w:lang w:val="es-AR" w:eastAsia="es-AR" w:bidi="es-AR"/>
        </w:rPr>
      </w:pPr>
      <w:r>
        <w:rPr>
          <w:lang w:val="es-AR" w:eastAsia="es-AR" w:bidi="es-AR"/>
        </w:rPr>
        <w:t xml:space="preserve">A la primera cuestión la señora Jueza Graciela Scaraffia dijo:</w:t>
      </w:r>
    </w:p>
    <w:p>
      <w:pPr>
        <w:pStyle w:val="[Normal]"/>
        <w:spacing w:line="360" w:lineRule="auto"/>
        <w:ind w:firstLine="1134"/>
        <w:jc w:val="both"/>
        <w:rPr>
          <w:lang w:val="es-AR" w:eastAsia="es-AR" w:bidi="es-AR"/>
        </w:rPr>
      </w:pPr>
      <w:r>
        <w:rPr>
          <w:lang w:val="es-AR" w:eastAsia="es-AR" w:bidi="es-AR"/>
        </w:rPr>
        <w:t xml:space="preserve">El Sr. Juez de la anterior instancia rechazó la demanda que instaurara María Victoria Montaño, por si y en representación de sus hijos menores J. M. L. y F. L., contra Daniel Robledo, Lucas Tomás Martire y Seguros Bernardino Rivadavia Coop. Ltda.. Aplicó las costas a la parte actora, que resulta vencida (Art. 68 C.P.C.), con la aclaración formulada en el considerando IV).  Difirió la regulación de honorarios de  los letrados intervinientes  y de los  peritos,  hasta  que  medie  firme  la respectiva liquidación de intereses y gastos (Arts. 16, 21, 23 y 28 ley 14.967).</w:t>
      </w:r>
    </w:p>
    <w:p>
      <w:pPr>
        <w:pStyle w:val="[Normal]"/>
        <w:spacing w:line="360" w:lineRule="auto"/>
        <w:ind w:firstLine="1134"/>
        <w:jc w:val="both"/>
        <w:rPr>
          <w:lang w:val="es-AR" w:eastAsia="es-AR" w:bidi="es-AR"/>
        </w:rPr>
      </w:pPr>
      <w:r>
        <w:rPr>
          <w:lang w:val="es-AR" w:eastAsia="es-AR" w:bidi="es-AR"/>
        </w:rPr>
        <w:t xml:space="preserve">Tal decisorio fue objeto de los recursos de apelación interpuesto por la parte actora (18/3/2026) y por la citada en garantía (19-3-2026), ambos concedidos el día 19-3-2026 libremente y en ambos efectos.</w:t>
      </w:r>
    </w:p>
    <w:p>
      <w:pPr>
        <w:pStyle w:val="[Normal]"/>
        <w:spacing w:line="360" w:lineRule="auto"/>
        <w:ind w:firstLine="1134"/>
        <w:jc w:val="both"/>
        <w:rPr>
          <w:lang w:val="es-AR" w:eastAsia="es-AR" w:bidi="es-AR"/>
        </w:rPr>
      </w:pPr>
      <w:r>
        <w:rPr>
          <w:lang w:val="es-AR" w:eastAsia="es-AR" w:bidi="es-AR"/>
        </w:rPr>
        <w:t xml:space="preserve">Elevados los autos a esta Alzada con fecha 14-4-2026 se ordenó expresar agravios a la parte actora, quien el 21-4-2026 los fundo.  El día 23-4-2026 se ordenó expresar agravios a la parte citada en garantía, quien el 5-5-2026 los fundó.  Con fecha 23-6-2026 traslados, siendo evacuados el 29-6-2026 por la parte demandada, el 3-7-2026 por la parte actora y el 6-7-2026 por la citada en garantía. Con fecha 14-7-2026 llamamiento de autos, providencia, que firme a la fecha deja la causa en condiciones de ser fallada.</w:t>
      </w:r>
    </w:p>
    <w:p>
      <w:pPr>
        <w:pStyle w:val="[Normal]"/>
        <w:spacing w:line="360" w:lineRule="auto"/>
        <w:ind w:firstLine="1134"/>
        <w:jc w:val="both"/>
        <w:rPr>
          <w:lang w:val="es-AR" w:eastAsia="es-AR" w:bidi="es-AR"/>
        </w:rPr>
      </w:pPr>
      <w:r>
        <w:rPr>
          <w:lang w:val="es-AR" w:eastAsia="es-AR" w:bidi="es-AR"/>
        </w:rPr>
        <w:t xml:space="preserve">I.- A fs. 33/45 vta. se presentó María Victoria Montaño, por sí y en representación de sus hijos menores de edad F. y J. M. L. y Montaño, promoviendo demanda de daños y perjuicios contra Daniel Robledo y/o Lucas Tomás Mártire, y citando en garantía a Seguros Bernardino Rivadavia Coop. Ltda., reclamando la suma de $17.700.000, o lo que en más o en menos resultara de la prueba, con intereses y costas, con causa en el fallecimiento de su esposo y padre de los menores, Martín Lacuadra, ocurrido el 08/12/2018 a raíz de las lesiones sufridas el 26/11/2018 al ser embestido por un minibús marca Daewoo dominio CAM-027, conducido por Lucas Tomás Mártire, en momentos en que aquél circulaba en motocicleta por Av. de Mayo, con prioridad de paso, siendo interceptado por el rodado mayor que provenía por calle Azcuénaga.</w:t>
      </w:r>
    </w:p>
    <w:p>
      <w:pPr>
        <w:pStyle w:val="[Normal]"/>
        <w:spacing w:line="360" w:lineRule="auto"/>
        <w:ind w:firstLine="1134"/>
        <w:jc w:val="both"/>
        <w:rPr>
          <w:lang w:val="es-AR" w:eastAsia="es-AR" w:bidi="es-AR"/>
        </w:rPr>
      </w:pPr>
      <w:r>
        <w:rPr>
          <w:lang w:val="es-AR" w:eastAsia="es-AR" w:bidi="es-AR"/>
        </w:rPr>
        <w:t xml:space="preserve">II.-  La citada en garantía opuso excepción de falta de legitimación pasiva, sosteniendo que a la fecha del hecho no otorgaba cobertura al vehículo asegurado por haberse contratado el seguro con posterioridad al siniestro. En subsidio, contestó la demanda negando los hechos e invocando la interrupción del nexo causal por la circulación de la víctima sin casco protector. Los codemandados Robledo y Mártire, por su parte, postularon el rechazo de la excepción y, en cuanto al fondo, atribuyeron el hecho a la culpa exclusiva de la víctima por igual motivo.</w:t>
      </w:r>
    </w:p>
    <w:p>
      <w:pPr>
        <w:pStyle w:val="[Normal]"/>
        <w:spacing w:line="360" w:lineRule="auto"/>
        <w:ind w:firstLine="1134"/>
        <w:jc w:val="both"/>
        <w:rPr>
          <w:lang w:val="es-AR" w:eastAsia="es-AR" w:bidi="es-AR"/>
        </w:rPr>
      </w:pPr>
      <w:r>
        <w:rPr>
          <w:lang w:val="es-AR" w:eastAsia="es-AR" w:bidi="es-AR"/>
        </w:rPr>
        <w:t xml:space="preserve">III.- Que sustanciado el proceso y producida la prueba, el Sr. Juez de grado dictó sentencia rechazando la excepción de falta de legitimación pasiva -por considerar acreditada la vigencia de la cobertura a la fecha del siniestro mediante la documental aportada por la propia aseguradora y la pericia contable no impugnada- y, sin perjuicio de tener por acreditada la culpabilidad penal de Mártire y la responsabilidad objetiva de Robledo en los términos de los arts. 1757 y 1758 del CCyC, concluyó que la circulación de la víctima sin casco protector interrumpió totalmente el nexo causal entre la conducta de los demandados y el resultado letal, por lo que rechazó la demanda en su totalidad, con costas a la actora, con la salvedad de que la citada en garantía debía responder de manera concurrente por los honorarios de los letrados de los codemandados, en razón de haber resultado vencida en la excepción.</w:t>
      </w:r>
    </w:p>
    <w:p>
      <w:pPr>
        <w:pStyle w:val="[Normal]"/>
        <w:spacing w:line="360" w:lineRule="auto"/>
        <w:ind w:firstLine="1134"/>
        <w:jc w:val="both"/>
        <w:rPr>
          <w:lang w:val="es-AR" w:eastAsia="es-AR" w:bidi="es-AR"/>
        </w:rPr>
      </w:pPr>
      <w:r>
        <w:rPr>
          <w:lang w:val="es-AR" w:eastAsia="es-AR" w:bidi="es-AR"/>
        </w:rPr>
        <w:t xml:space="preserve">IV.- Contra dicho pronunciamiento se alzaron: a) la citada en garantía Seguros Bernardino Rivadavia Coop. Ltda., cuestionando el rechazo de su excepción de falta de legitimación pasiva y solicitando la apertura a prueba en la instancia (art. 255 incs. 2 y 5 CPCC) o, subsidiariamente, el dictado de una medida para mejor proveer, a fin de producir la pericia informática oportunamente denegada en primera instancia; y b) la parte actora, cuestionando la exoneración total de responsabilidad dispuesta en el fallo, mediante tres agravios relativos a: 1) el alcance del art. 1776 del CCyC frente a la condena penal firme de Mártire; (2) la ausencia de prueba pericial médica idónea para tener por acreditado que el uso de casco hubiera evitado el resultado fatal; y 3) la mecánica del hecho, en cuanto la falta de casco resultaría ajena a la causación del accidente y sólo incidiría, en su caso, en la magnitud de las lesiones.</w:t>
      </w:r>
    </w:p>
    <w:p>
      <w:pPr>
        <w:pStyle w:val="[Normal]"/>
        <w:spacing w:line="360" w:lineRule="auto"/>
        <w:ind w:firstLine="1134"/>
        <w:jc w:val="both"/>
        <w:rPr>
          <w:lang w:val="es-AR" w:eastAsia="es-AR" w:bidi="es-AR"/>
        </w:rPr>
      </w:pPr>
      <w:r>
        <w:rPr>
          <w:lang w:val="es-AR" w:eastAsia="es-AR" w:bidi="es-AR"/>
        </w:rPr>
        <w:t xml:space="preserve">V).- Corridos los traslados de ley, las partes contestaron los agravios recíprocos en los términos que obran en autos, solicitando la actora y los codemandados Robledo y Mártire el rechazo del recurso de la citada en garantía y la confirmación de la sentencia en cuanto al mérito de la cobertura; y la actora y la citada en garantía -cada una desde su interés- controvirtiendo los agravios de la contraria en materia de responsabilidad.</w:t>
      </w:r>
    </w:p>
    <w:p>
      <w:pPr>
        <w:pStyle w:val="[Normal]"/>
        <w:spacing w:line="360" w:lineRule="auto"/>
        <w:ind w:firstLine="1134"/>
        <w:jc w:val="both"/>
        <w:rPr>
          <w:lang w:val="es-AR" w:eastAsia="es-AR" w:bidi="es-AR"/>
        </w:rPr>
      </w:pPr>
      <w:r>
        <w:rPr>
          <w:lang w:val="es-AR" w:eastAsia="es-AR" w:bidi="es-AR"/>
        </w:rPr>
        <w:t xml:space="preserve">VI)  Por razones de orden lógico, corresponde examinar en primer término el recurso de la citada en garantía, en tanto remite a una cuestión de legitimación sustancial cuya resolución negativa tornaría inoficioso el tratamiento de todo lo demás; y, superado ese estadio, abordar los agravios de la parte actora relativos al fondo de la responsabilidad.</w:t>
      </w:r>
    </w:p>
    <w:p>
      <w:pPr>
        <w:pStyle w:val="[Normal]"/>
        <w:spacing w:line="360" w:lineRule="auto"/>
        <w:ind w:firstLine="1134"/>
        <w:jc w:val="both"/>
        <w:rPr>
          <w:lang w:val="es-AR" w:eastAsia="es-AR" w:bidi="es-AR"/>
        </w:rPr>
      </w:pPr>
      <w:r>
        <w:rPr>
          <w:lang w:val="es-AR" w:eastAsia="es-AR" w:bidi="es-AR"/>
        </w:rPr>
        <w:t xml:space="preserve">VII).-</w:t>
      </w:r>
      <w:r>
        <w:rPr>
          <w:b/>
          <w:lang w:val="es-AR" w:eastAsia="es-AR" w:bidi="es-AR"/>
        </w:rPr>
        <w:t xml:space="preserve"> </w:t>
      </w:r>
      <w:r>
        <w:rPr>
          <w:lang w:val="es-AR" w:eastAsia="es-AR" w:bidi="es-AR"/>
        </w:rPr>
        <w:t xml:space="preserve">El recurso de la citada en garantía: </w:t>
      </w:r>
    </w:p>
    <w:p>
      <w:pPr>
        <w:pStyle w:val="[Normal]"/>
        <w:spacing w:line="360" w:lineRule="auto"/>
        <w:ind w:firstLine="1134"/>
        <w:jc w:val="both"/>
        <w:rPr>
          <w:lang w:val="es-AR" w:eastAsia="es-AR" w:bidi="es-AR"/>
        </w:rPr>
      </w:pPr>
      <w:r>
        <w:rPr>
          <w:lang w:val="es-AR" w:eastAsia="es-AR" w:bidi="es-AR"/>
        </w:rPr>
        <w:t xml:space="preserve">1).- Sobre el pedido de apertura a prueba en la Alzada y, subsidiariamente, de medida para mejor proveer:</w:t>
      </w:r>
    </w:p>
    <w:p>
      <w:pPr>
        <w:pStyle w:val="[Normal]"/>
        <w:spacing w:line="360" w:lineRule="auto"/>
        <w:ind w:firstLine="1134"/>
        <w:jc w:val="both"/>
        <w:rPr>
          <w:lang w:val="es-AR" w:eastAsia="es-AR" w:bidi="es-AR"/>
        </w:rPr>
      </w:pPr>
      <w:r>
        <w:rPr>
          <w:lang w:val="es-AR" w:eastAsia="es-AR" w:bidi="es-AR"/>
        </w:rPr>
        <w:t xml:space="preserve">La pretensión de reeditar en esta instancia la producción de la pericia informática no puede prosperar. Este Tribunal ya se expidió sobre idéntico planteo mediante resolución interlocutoria firme dictada en estos mismos autos, en la que se estableció, sin que ello fuera materia de impugnación idónea, que no medió una denegatoria infundada por parte del a quo, sino un incumplimiento de la carga procesal propia de la aseguradora, que -tras acordarse el pase a la Asesoría Pericial y ante el requerimiento de aclaración formulado por el Juzgado sobre la modalidad de designación del perito ante la ausencia de especialistas en dicha dependencia- guardó silencio hasta que la causa quedó en condiciones de dictar sentencia.</w:t>
      </w:r>
    </w:p>
    <w:p>
      <w:pPr>
        <w:pStyle w:val="[Normal]"/>
        <w:spacing w:line="360" w:lineRule="auto"/>
        <w:ind w:firstLine="1134"/>
        <w:jc w:val="both"/>
        <w:rPr>
          <w:lang w:val="es-AR" w:eastAsia="es-AR" w:bidi="es-AR"/>
        </w:rPr>
      </w:pPr>
      <w:r>
        <w:rPr>
          <w:lang w:val="es-AR" w:eastAsia="es-AR" w:bidi="es-AR"/>
        </w:rPr>
        <w:t xml:space="preserve">Dicha decisión, adoptada por este mismo Tribunal en el marco del proceso y consentida en su oportunidad, hace cosa juzgada dentro de estas actuaciones e impide su revisión por esta vía so pena de vulnerar los principios de preclusión y de seguridad jurídica que informan el proceso civil. A ello se suma que el art. 255 inc. 2 del CPCC exige, como presupuesto de la reapertura probatoria en la Alzada, que la prueba hubiera sido denegada por el juez de primera instancia cuando hubiese correspondido admitirla, extremo que no se verifica en el caso, en el que la frustración de la prueba obedeció exclusivamente a la propia inactividad de la parte que hoy pretende beneficiarse de ella.</w:t>
      </w:r>
    </w:p>
    <w:p>
      <w:pPr>
        <w:pStyle w:val="[Normal]"/>
        <w:spacing w:line="360" w:lineRule="auto"/>
        <w:ind w:firstLine="1134"/>
        <w:jc w:val="both"/>
        <w:rPr>
          <w:lang w:val="es-AR" w:eastAsia="es-AR" w:bidi="es-AR"/>
        </w:rPr>
      </w:pPr>
      <w:r>
        <w:rPr>
          <w:lang w:val="es-AR" w:eastAsia="es-AR" w:bidi="es-AR"/>
        </w:rPr>
        <w:t xml:space="preserve">Iguales razones conducen a desestimar el pedido subsidiario de medida para mejor proveer. Las facultades del art. 36 inc. 2 del CPCC son de ejercicio discrecional del tribunal y se encuentran reservadas a esclarecer aspectos oscuros de la controversia, no a suplir la negligencia probatoria de una de las partes ni a reeditar una etapa procesal fenecida por su propia inacción. A mayor abundamiento, y como se desarrollará en el punto siguiente, la prueba documental y pericial contable ya incorporada a la causa resulta suficiente y concluyente para dirimir la cuestión de la vigencia de la cobertura, por lo que la medida pretendida deviene además inconducente.  (Cfr resolución de este Tribunal dictado el 26/05/2026).</w:t>
      </w:r>
    </w:p>
    <w:p>
      <w:pPr>
        <w:pStyle w:val="[Normal]"/>
        <w:spacing w:line="360" w:lineRule="auto"/>
        <w:ind w:firstLine="1134"/>
        <w:jc w:val="both"/>
        <w:rPr>
          <w:lang w:val="es-AR" w:eastAsia="es-AR" w:bidi="es-AR"/>
        </w:rPr>
      </w:pPr>
      <w:r>
        <w:rPr>
          <w:lang w:val="es-AR" w:eastAsia="es-AR" w:bidi="es-AR"/>
        </w:rPr>
        <w:t xml:space="preserve">2)  Sobre el fondo de la excepción de falta de legitimación pasiva:</w:t>
      </w:r>
    </w:p>
    <w:p>
      <w:pPr>
        <w:pStyle w:val="[Normal]"/>
        <w:spacing w:line="360" w:lineRule="auto"/>
        <w:ind w:firstLine="1134"/>
        <w:jc w:val="both"/>
        <w:rPr>
          <w:lang w:val="es-AR" w:eastAsia="es-AR" w:bidi="es-AR"/>
        </w:rPr>
      </w:pPr>
      <w:r>
        <w:rPr>
          <w:lang w:val="es-AR" w:eastAsia="es-AR" w:bidi="es-AR"/>
        </w:rPr>
        <w:t xml:space="preserve">Tampoco puede prosperar el agravio de fondo. El art. 4 de la Ley 17.418 establece el carácter consensual del contrato de seguro, que queda perfeccionado por el mero acuerdo de voluntades entre asegurador y asegurado, con independencia de la emisión de la póliza -que constituye su instrumento probatorio por excelencia, mas no su presupuesto de existencia- y, con mayor razón aún, con independencia de las registraciones administrativas internas que la aseguradora hubiera efectuado en sus propios sistemas.</w:t>
      </w:r>
    </w:p>
    <w:p>
      <w:pPr>
        <w:pStyle w:val="[Normal]"/>
        <w:spacing w:line="360" w:lineRule="auto"/>
        <w:ind w:firstLine="1134"/>
        <w:jc w:val="both"/>
        <w:rPr>
          <w:lang w:val="es-AR" w:eastAsia="es-AR" w:bidi="es-AR"/>
        </w:rPr>
      </w:pPr>
      <w:r>
        <w:rPr>
          <w:lang w:val="es-AR" w:eastAsia="es-AR" w:bidi="es-AR"/>
        </w:rPr>
        <w:t xml:space="preserve">En el caso, la propia citada en garantía incorporó al expediente, al contestar la citación, el frente de la póliza Nº 09/483057, del que surge que el objeto asegurado era el vehículo Daewoo dominio CAM-027, que la fecha de emisión fue el 23/11/2018 y que la cobertura se extendía desde las 12 hs. del 26/11/2018. El instrumento de fs. 130/131, también acompañado por la propia aseguradora, consigna en su tercera línea "EM 23/11/2018 VI 26/11/2018", lo que corrobora, sin necesidad de mayor esfuerzo hermenéutico, que la emisión y la vigencia de la póliza son categorías distintas de la mera cotización o "presupuesto" digital invocado por la recurrente, y que ambas -emisión y vigencia- resultan anteriores al horario del siniestro.</w:t>
      </w:r>
    </w:p>
    <w:p>
      <w:pPr>
        <w:pStyle w:val="[Normal]"/>
        <w:spacing w:line="360" w:lineRule="auto"/>
        <w:ind w:firstLine="1134"/>
        <w:jc w:val="both"/>
        <w:rPr>
          <w:lang w:val="es-AR" w:eastAsia="es-AR" w:bidi="es-AR"/>
        </w:rPr>
      </w:pPr>
      <w:r>
        <w:rPr>
          <w:lang w:val="es-AR" w:eastAsia="es-AR" w:bidi="es-AR"/>
        </w:rPr>
        <w:t xml:space="preserve">A ello se suma que la pericia contable oficial, producida con la participación e intervención de todas las partes -incluida la propia aseguradora, que formuló preguntas sin cuestionar ulteriormente las conclusiones del experto- confirmó, mediante el examen directo de los libros y registros internos de la compañía, la contratación del seguro el 23/11/2018 y la vigencia de la cobertura desde las 12 hs. del 26/11/2018, extremo ratificado en presentación espontánea del perito de fecha 29/08/2024. Dicho dictamen no fue impugnado en tiempo y forma por ninguna de las partes, por lo que conserva pleno valor convictivo en los términos del art. 474 del CPCC.</w:t>
      </w:r>
    </w:p>
    <w:p>
      <w:pPr>
        <w:pStyle w:val="[Normal]"/>
        <w:spacing w:line="360" w:lineRule="auto"/>
        <w:ind w:firstLine="1134"/>
        <w:jc w:val="both"/>
        <w:rPr>
          <w:lang w:val="es-AR" w:eastAsia="es-AR" w:bidi="es-AR"/>
        </w:rPr>
      </w:pPr>
      <w:r>
        <w:rPr>
          <w:lang w:val="es-AR" w:eastAsia="es-AR" w:bidi="es-AR"/>
        </w:rPr>
        <w:t xml:space="preserve">Frente a este cuadro probatorio objetivo y documental -emanado en su mayor parte de la propia aseguradora-, la sola referencia a un "presupuesto" digital cargado a las 16:43 hs. del día del hecho resulta inhábil para desvirtuar la vigencia de la cobertura, en tanto se trata de un acto administrativo interno de cotización, ajeno al perfeccionamiento del contrato y a su vigencia, ambas cuestiones ya fijadas contractualmente con anterioridad al siniestro. La aseguradora no impugnó ni desconoció formalmente los instrumentos que ella misma incorporó a la causa, por lo que rige la doctrina de los actos propios: no puede válidamente asumir en el proceso una posición jurídica incompatible con la generada por su propia conducta documental anterior.</w:t>
      </w:r>
    </w:p>
    <w:p>
      <w:pPr>
        <w:pStyle w:val="[Normal]"/>
        <w:spacing w:line="360" w:lineRule="auto"/>
        <w:ind w:firstLine="1134"/>
        <w:jc w:val="both"/>
        <w:rPr>
          <w:lang w:val="es-AR" w:eastAsia="es-AR" w:bidi="es-AR"/>
        </w:rPr>
      </w:pPr>
      <w:r>
        <w:rPr>
          <w:lang w:val="es-AR" w:eastAsia="es-AR" w:bidi="es-AR"/>
        </w:rPr>
        <w:t xml:space="preserve">Cabe agregar, como fundamento concurrente, que el rechazo de cobertura notificado el 28/08/2019 -esto es, más de nueve meses después de la denuncia del siniestro- resulta también extemporáneo a la luz del art. 56 de la Ley 17.418, que impone al asegurador expedirse dentro de los treinta días de recibida la información complementaria, bajo apercibimiento de aceptación tácita. El plazo del art. 46 de la misma ley, invocado por la aseguradora para diferir su pronunciamiento, está previsto para la obtención de información dependiente de terceros ajenos a la aseguradora, y no resulta extensible a datos que obraban en sus propios registros internos desde el origen -tal como la propia citada reconoció en su responde, al circunscribir lo pendiente de comprobación a la mera comparación entre la fecha del siniestro y la del aseguramiento-, por lo que su invocación en tales condiciones no logró suspender el curso del plazo legal del art. 56.</w:t>
      </w:r>
    </w:p>
    <w:p>
      <w:pPr>
        <w:pStyle w:val="[Normal]"/>
        <w:spacing w:line="360" w:lineRule="auto"/>
        <w:ind w:firstLine="1134"/>
        <w:jc w:val="both"/>
        <w:rPr>
          <w:lang w:val="es-AR" w:eastAsia="es-AR" w:bidi="es-AR"/>
        </w:rPr>
      </w:pPr>
      <w:r>
        <w:rPr>
          <w:lang w:val="es-AR" w:eastAsia="es-AR" w:bidi="es-AR"/>
        </w:rPr>
        <w:t xml:space="preserve">Por los fundamentos expuestos, corresponde rechazar el recurso de apelación de la citada en garantía y confirmar la sentencia de grado en cuanto rechazó la excepción de falta de legitimación pasiva, con costas de Alzada a la apelante vencida (art. 68 CPCC).</w:t>
      </w:r>
    </w:p>
    <w:p>
      <w:pPr>
        <w:pStyle w:val="[Normal]"/>
        <w:spacing w:line="360" w:lineRule="auto"/>
        <w:ind w:firstLine="1134"/>
        <w:jc w:val="both"/>
        <w:rPr>
          <w:lang w:val="es-AR" w:eastAsia="es-AR" w:bidi="es-AR"/>
        </w:rPr>
      </w:pPr>
      <w:r>
        <w:rPr>
          <w:lang w:val="es-AR" w:eastAsia="es-AR" w:bidi="es-AR"/>
        </w:rPr>
        <w:t xml:space="preserve">VIII).- El recurso de la parte actora: </w:t>
      </w:r>
      <w:r>
        <w:rPr>
          <w:b/>
          <w:lang w:val="es-AR" w:eastAsia="es-AR" w:bidi="es-AR"/>
        </w:rPr>
        <w:t xml:space="preserve"> </w:t>
      </w:r>
    </w:p>
    <w:p>
      <w:pPr>
        <w:pStyle w:val="[Normal]"/>
        <w:spacing w:line="360" w:lineRule="auto"/>
        <w:ind w:firstLine="1134"/>
        <w:jc w:val="both"/>
        <w:rPr>
          <w:lang w:val="es-AR" w:eastAsia="es-AR" w:bidi="es-AR"/>
        </w:rPr>
      </w:pPr>
      <w:r>
        <w:rPr>
          <w:lang w:val="es-AR" w:eastAsia="es-AR" w:bidi="es-AR"/>
        </w:rPr>
        <w:t xml:space="preserve">1.- Primer agravio: alcance del art. 1776 del CCyC.</w:t>
      </w:r>
    </w:p>
    <w:p>
      <w:pPr>
        <w:pStyle w:val="[Normal]"/>
        <w:spacing w:line="360" w:lineRule="auto"/>
        <w:ind w:firstLine="1134"/>
        <w:jc w:val="both"/>
        <w:rPr>
          <w:lang w:val="es-AR" w:eastAsia="es-AR" w:bidi="es-AR"/>
        </w:rPr>
      </w:pPr>
      <w:r>
        <w:rPr>
          <w:lang w:val="es-AR" w:eastAsia="es-AR" w:bidi="es-AR"/>
        </w:rPr>
        <w:t xml:space="preserve">Asiste razón a la recurrente en cuanto a que la sentencia penal condenatoria firme dictada contra Lucas Tomás Mártire -autor penalmente responsable del delito de homicidio culposo agravado en perjuicio de Martín Lacuadra- produce, conforme el art. 1776 del CCyC, efectos de cosa juzgada en esta sede civil respecto de la existencia del hecho principal y de la culpa del condenado. El propio a quo reconoció expresamente este efecto en el Considerando III de su sentencia, al tener por acreditada la culpabilidad penal de Mártire y la consiguiente responsabilidad objetiva concurrente de Robledo como titular registral del rodado (arts. 1757, 1758 y 1769 CCyC).</w:t>
      </w:r>
    </w:p>
    <w:p>
      <w:pPr>
        <w:pStyle w:val="[Normal]"/>
        <w:spacing w:line="360" w:lineRule="auto"/>
        <w:ind w:firstLine="1134"/>
        <w:jc w:val="both"/>
        <w:rPr>
          <w:lang w:val="es-AR" w:eastAsia="es-AR" w:bidi="es-AR"/>
        </w:rPr>
      </w:pPr>
      <w:r>
        <w:rPr>
          <w:lang w:val="es-AR" w:eastAsia="es-AR" w:bidi="es-AR"/>
        </w:rPr>
        <w:t xml:space="preserve">Ahora bien, dicha cosa juzgada penal no obsta, per se, a que en sede civil se examine la incidencia causal de la conducta de la propia víctima, en tanto el art. 1729 del CCyC autoriza a considerar el hecho de la víctima como factor de interrupción total o parcial del nexo causal, incluso frente a un demandado cuya culpa ya fue fijada en sede penal.  La cuestión, entonces, no reside en la aplicación en abstracto del art. 1776 -que la sentencia de grado no vulneró en cuanto reconoció la culpa de Mártire-, sino en determinar si la prueba producida en autos permite sostener, con el grado de certeza exigible, que la conducta de la víctima constituyó la causa exclusiva y excluyente del resultado dañoso, o si, por el contrario, sólo puede reputarse una concausa relativa a la extensión del daño. Esa es la cuestión que se examina en el punto siguiente, al que corresponde remitirse por razón de conexidad.</w:t>
      </w:r>
    </w:p>
    <w:p>
      <w:pPr>
        <w:pStyle w:val="[Normal]"/>
        <w:spacing w:line="360" w:lineRule="auto"/>
        <w:ind w:firstLine="1134"/>
        <w:jc w:val="both"/>
        <w:rPr>
          <w:lang w:val="es-AR" w:eastAsia="es-AR" w:bidi="es-AR"/>
        </w:rPr>
      </w:pPr>
      <w:r>
        <w:rPr>
          <w:lang w:val="es-AR" w:eastAsia="es-AR" w:bidi="es-AR"/>
        </w:rPr>
        <w:t xml:space="preserve">2.- Segundo agravio: ausencia de prueba pericial médica sobre la incidencia causal de la falta de casco.</w:t>
      </w:r>
    </w:p>
    <w:p>
      <w:pPr>
        <w:pStyle w:val="[Normal]"/>
        <w:spacing w:line="360" w:lineRule="auto"/>
        <w:ind w:firstLine="1134"/>
        <w:jc w:val="both"/>
        <w:rPr>
          <w:lang w:val="es-AR" w:eastAsia="es-AR" w:bidi="es-AR"/>
        </w:rPr>
      </w:pPr>
      <w:r>
        <w:rPr>
          <w:lang w:val="es-AR" w:eastAsia="es-AR" w:bidi="es-AR"/>
        </w:rPr>
        <w:t xml:space="preserve">El agravio debe prosperar. El informe de autopsia de fs. 76/80 de la causa penal establece la causa del deceso -paro cardiorrespiratorio traumático y falla multiorgánica como consecuencia de traumatismo severo de cráneo-, pero de dicho instrumento, ni de la declaración testimonial referida a la ausencia de casco, surge elemento técnico alguno que permita concluir, con el grado de certeza científica exigible, que el uso del elemento de seguridad habría evitado el resultado letal. La determinación de si un casco reglamentario hubiera sido eficaz para contener las fuerzas del impacto sufrido por la víctima constituye, por su naturaleza, una cuestión que excede el conocimiento común y que requiere de prueba pericial médica específica (art. 457 CPCC), la cual no fue producida en autos.</w:t>
      </w:r>
    </w:p>
    <w:p>
      <w:pPr>
        <w:pStyle w:val="[Normal]"/>
        <w:spacing w:line="360" w:lineRule="auto"/>
        <w:ind w:firstLine="1134"/>
        <w:jc w:val="both"/>
        <w:rPr>
          <w:lang w:val="es-AR" w:eastAsia="es-AR" w:bidi="es-AR"/>
        </w:rPr>
      </w:pPr>
      <w:r>
        <w:rPr>
          <w:lang w:val="es-AR" w:eastAsia="es-AR" w:bidi="es-AR"/>
        </w:rPr>
        <w:t xml:space="preserve">La carga de acreditar la eximente de responsabilidad -esto es, que el hecho de la víctima interrumpió totalmente el nexo causal- pesa sobre quien la invoca, en el caso los demandados y la citada en garantía (art. 375 CPCC), quienes no aportaron el sustento técnico necesario para tener por probado, con la contundencia requerida, que la ausencia de casco fue la causa exclusiva y determinante del deceso, y no una mera concausa relativa a la gravedad de las lesiones sufridas en una región corporal que, ciertamente, se encontraba desprotegida. No basta pues la escueta afirmación del informe de autopsia producida en sede penal e invocada por la parte demandada para peticionar la exclusión total de responsabilidad de su parte, puesto que otros niveles de análisis han de adunarse en este tema.-</w:t>
      </w:r>
    </w:p>
    <w:p>
      <w:pPr>
        <w:pStyle w:val="[Normal]"/>
        <w:spacing w:line="360" w:lineRule="auto"/>
        <w:ind w:firstLine="1134"/>
        <w:jc w:val="both"/>
        <w:rPr>
          <w:lang w:val="es-AR" w:eastAsia="es-AR" w:bidi="es-AR"/>
        </w:rPr>
      </w:pPr>
      <w:r>
        <w:rPr>
          <w:lang w:val="es-AR" w:eastAsia="es-AR" w:bidi="es-AR"/>
        </w:rPr>
        <w:t xml:space="preserve">Esta conclusión resulta, además, congruente con los propios precedentes de este Tribunal en supuestos sustancialmente análogos, en los que se sostuvo que, a los fines de establecer la incidencia causal de la falta de casco en el fallecimiento de la víctima, "se requiere un grado de certeza tal que conlleve inexorablemente a concluir de ese modo con apoyatura en probanzas concluyentes", no bastando la mera invocación de la infracción reglamentaria (esta Cámara, "Russian Paula Daiana c/ Casella Roberto Fabián y otro", causa Nº 2647-16, sent. del 14/02/2017); y en los que, ante la ausencia de dicha prueba técnica, se elevó al 100% la responsabilidad de los demandados por no haber acreditado que el uso del casco hubiera evitado el desenlace fatal (esta Cámara, "Bruni, Beatriz y otros c/ Rossi, Carlos Aníbal y otros", Expte. 3111-17, sent. del 06/03/2018). En igual sentido, este Tribunal ha señalado recientemente que "la omisión de uso de casco puede incidir sobre la magnitud de las lesiones, pero carece de repercusión en la producción del accidente" ("Rodríguez Leonardo Fabián c/ Dueñas Daniel Eduardo y otros", Expte. Nº 5575-25, sent. del 13/05/2025), doctrina que se corresponde con la sostenida por la Suprema Corte de Justicia de la Provincia en cuanto a que la falta de casco, cuando no ha sido factor determinante del accidente ni guarda relación inmediata con el hecho en sí mismo, "aunque puede constituir una concausa de los daños generados, no tiene incidencia en el juzgamiento de la responsabilidad" (SCBA, C 104952, 02/07/2010).</w:t>
      </w:r>
    </w:p>
    <w:p>
      <w:pPr>
        <w:pStyle w:val="[Normal]"/>
        <w:spacing w:line="360" w:lineRule="auto"/>
        <w:ind w:firstLine="1134"/>
        <w:jc w:val="both"/>
        <w:rPr>
          <w:lang w:val="es-AR" w:eastAsia="es-AR" w:bidi="es-AR"/>
        </w:rPr>
      </w:pPr>
      <w:r>
        <w:rPr>
          <w:lang w:val="es-AR" w:eastAsia="es-AR" w:bidi="es-AR"/>
        </w:rPr>
        <w:t xml:space="preserve">El precedente invocado por los demandados y la citada en garantía ("Fernández de Larrea Luciana Mercedes c/ Arel Nicolás Tolentino y otro/a", causa Nº 3961, sent. del 22/09/2020), en el que este Tribunal admitió la exoneración total del demandado por la falta de casco, no resulta trasladable sin más al sub lite, en tanto -a diferencia de aquel precedente- en autos no se cuenta con prueba pericial médica en sede civil  que permita sostener idéntica conclusión, ni la parte que invoca la eximente logró demostrar, con el rigor exigido, que su caso resulta equiparable en materia probatoria. Ante la duda o insuficiencia probatoria sobre un extremo cuya carga corresponde a quien la invoca, no puede tenerse por acreditada la interrupción total del nexo causal. Por otra parte la decisión corresponde a cada caso en particular y no necesariamente se alcanza la misma solución en el presente.</w:t>
      </w:r>
    </w:p>
    <w:p>
      <w:pPr>
        <w:pStyle w:val="[Normal]"/>
        <w:spacing w:line="360" w:lineRule="auto"/>
        <w:ind w:firstLine="1134"/>
        <w:jc w:val="both"/>
        <w:rPr>
          <w:lang w:val="es-AR" w:eastAsia="es-AR" w:bidi="es-AR"/>
        </w:rPr>
      </w:pPr>
      <w:r>
        <w:rPr>
          <w:lang w:val="es-AR" w:eastAsia="es-AR" w:bidi="es-AR"/>
        </w:rPr>
        <w:t xml:space="preserve">Nótese aquí que ambos rodados tienen una cuota de responsabilidad planteada por el factor objetivo en tanto ambos protagonistas estaban al comando de una cosa riesgosa, teniendo un deber de cuidado y previsión que la ley Nacional de Tránsito impone a ambos al tratarse de cosas generadoras de riesgo , por lo  que ha de analizarse puntualmente los aportes causales de cada uno en el evento, del modo que se explicará a continuación.-</w:t>
      </w:r>
    </w:p>
    <w:p>
      <w:pPr>
        <w:pStyle w:val="[Normal]"/>
        <w:spacing w:line="360" w:lineRule="auto"/>
        <w:ind w:firstLine="1134"/>
        <w:jc w:val="both"/>
        <w:rPr>
          <w:lang w:val="es-AR" w:eastAsia="es-AR" w:bidi="es-AR"/>
        </w:rPr>
      </w:pPr>
      <w:r>
        <w:rPr>
          <w:lang w:val="es-AR" w:eastAsia="es-AR" w:bidi="es-AR"/>
        </w:rPr>
        <w:t xml:space="preserve">3.- Tercer agravio: mecánica del hecho y distinción entre causa del accidente y causa del daño.</w:t>
      </w:r>
    </w:p>
    <w:p>
      <w:pPr>
        <w:pStyle w:val="[Normal]"/>
        <w:spacing w:line="360" w:lineRule="auto"/>
        <w:ind w:firstLine="1134"/>
        <w:jc w:val="both"/>
        <w:rPr>
          <w:lang w:val="es-AR" w:eastAsia="es-AR" w:bidi="es-AR"/>
        </w:rPr>
      </w:pPr>
      <w:r>
        <w:rPr>
          <w:lang w:val="es-AR" w:eastAsia="es-AR" w:bidi="es-AR"/>
        </w:rPr>
        <w:t xml:space="preserve">El agravio resulta parcialmente atendible y refuerza lo ya expuesto. De las constancias de la causa penal y de lo tenido por acreditado en la instancia de grado surge que la víctima circulaba por Av. de Mayo, arteria por la cual gozaba de prioridad de paso (art. 41 inc. a, Ley 24.449, a la que adhirió la Provincia de Buenos Aires mediante Ley 13.927), y que el codemandado Mártire, al incorporarse desde una calle transversal, no respetó dicha prioridad, resultando el rodado por él conducido el embistente físico. Estas circunstancias, ajenas por completo al uso o no de casco protector, fueron las que dieron lugar a su condena penal por homicidio culposo, hoy firme.</w:t>
      </w:r>
    </w:p>
    <w:p>
      <w:pPr>
        <w:pStyle w:val="[Normal]"/>
        <w:spacing w:line="360" w:lineRule="auto"/>
        <w:ind w:firstLine="1134"/>
        <w:jc w:val="both"/>
        <w:rPr>
          <w:lang w:val="es-AR" w:eastAsia="es-AR" w:bidi="es-AR"/>
        </w:rPr>
      </w:pPr>
      <w:r>
        <w:rPr>
          <w:lang w:val="es-AR" w:eastAsia="es-AR" w:bidi="es-AR"/>
        </w:rPr>
        <w:t xml:space="preserve">Conforme la propia doctrina de este Tribunal ya citada, la ausencia de casco puede incidir en la magnitud de las lesiones sufridas por quien conduce una motocicleta, pero no en la producción del accidente ni en la atribución de responsabilidad por su causación. Dicho de otro modo: una cosa es la causa del siniestro vial -en el caso, la infracción a la prioridad de paso por parte de Mártire, con la consiguiente responsabilidad objetiva concurrente de Robledo- y otra distinta es la eventual incidencia de la falta de casco en la extensión o gravedad del daño resultante, cuestión que, a falta de prueba técnica concluyente en los términos ya señalados, no puede erigirse en causal de exoneración total de responsabilidad.</w:t>
      </w:r>
    </w:p>
    <w:p>
      <w:pPr>
        <w:pStyle w:val="[Normal]"/>
        <w:spacing w:line="360" w:lineRule="auto"/>
        <w:ind w:firstLine="1134"/>
        <w:jc w:val="both"/>
        <w:rPr>
          <w:lang w:val="es-AR" w:eastAsia="es-AR" w:bidi="es-AR"/>
        </w:rPr>
      </w:pPr>
      <w:r>
        <w:rPr>
          <w:lang w:val="es-AR" w:eastAsia="es-AR" w:bidi="es-AR"/>
        </w:rPr>
        <w:t xml:space="preserve">A mayor abundamiento, es dable señalar que la relación de causalidad entre la conducta de la víctima y el agravamiento o no disminución del daño evitable por omisión de adoptar las medidas razonables para mitigarlo, presenta una doble matriz de complejidad. </w:t>
      </w:r>
    </w:p>
    <w:p>
      <w:pPr>
        <w:pStyle w:val="[Normal]"/>
        <w:spacing w:line="360" w:lineRule="auto"/>
        <w:ind w:firstLine="1134"/>
        <w:jc w:val="both"/>
        <w:rPr>
          <w:lang w:val="es-AR" w:eastAsia="es-AR" w:bidi="es-AR"/>
        </w:rPr>
      </w:pPr>
      <w:r>
        <w:rPr>
          <w:lang w:val="es-AR" w:eastAsia="es-AR" w:bidi="es-AR"/>
        </w:rPr>
        <w:t xml:space="preserve">A diferencia del agravamiento del daño por conducta positiva en el que simplemente hay que determinar si efectivamente la conducta de la víctima ha sido causa adecuada del agravamiento del daño, en la modalidad omisiva del deber de prevención ex post, el nexo de causalidad es negativo, y eso significa que el juez debe representarse la hipótesis mental de si el agravamiento del daño se hubiese podido evitar en caso de que la víctima hubiese adoptado las medidas razonables tendientes a mitigarlo. Confirmada dicha hipótesis con grado de probabilidad suficiente o certeza, se tendrá por verificada la relación de causalidad. </w:t>
      </w:r>
    </w:p>
    <w:p>
      <w:pPr>
        <w:pStyle w:val="[Normal]"/>
        <w:spacing w:line="360" w:lineRule="auto"/>
        <w:ind w:firstLine="1134"/>
        <w:jc w:val="both"/>
        <w:rPr>
          <w:lang w:val="es-AR" w:eastAsia="es-AR" w:bidi="es-AR"/>
        </w:rPr>
      </w:pPr>
      <w:r>
        <w:rPr>
          <w:lang w:val="es-AR" w:eastAsia="es-AR" w:bidi="es-AR"/>
        </w:rPr>
        <w:t xml:space="preserve">Este nexo de evitación se establece mediante una hipótesis mental similar a la que empleamos para establecer el nexo de causación en la estructura típica activa: si imaginamos la conducta debida y con ello desaparece el resultado, habrá un nexo de evitación, en tanto que si imaginamos la conducta debida y el resultado permanece, no existirá un nexo de evitación. Mutatis mutandis, si la adopción hipotética de las medidas razonables por parte de la víctima (uso de casco) arroja una elevada probabilidad de que el resultado hubiera desaparecido o se hubiese reducido (evitación total o parcial de la lesión craneal) corresponderá afirmar la existencia de relación de causalidad entre la conducta agravadora y el daño evitable posterior (Cf. CRESPO, Mariano Medina, La valoración civil del daño corporal, Bases para un tratado, Tomo III, Volumen I, Las reglas generales del sistema, Ed. Dykinson, 1999, Madrid, pag. 242 y ss).</w:t>
      </w:r>
    </w:p>
    <w:p>
      <w:pPr>
        <w:pStyle w:val="[Normal]"/>
        <w:spacing w:line="360" w:lineRule="auto"/>
        <w:ind w:firstLine="1134"/>
        <w:jc w:val="both"/>
        <w:rPr>
          <w:lang w:val="es-AR" w:eastAsia="es-AR" w:bidi="es-AR"/>
        </w:rPr>
      </w:pPr>
      <w:r>
        <w:rPr>
          <w:lang w:val="es-AR" w:eastAsia="es-AR" w:bidi="es-AR"/>
        </w:rPr>
        <w:t xml:space="preserve">La segunda matriz de complejidad viene dada por el hecho de que  la verificación práctica de la relación de causalidad que examinamos en esta etapa del procedimiento presenta un nivel de sofisticación mucho mayor que la que importa la comprobación de la relación de causalidad como presupuesto de la responsabilidad civil. </w:t>
      </w:r>
    </w:p>
    <w:p>
      <w:pPr>
        <w:pStyle w:val="[Normal]"/>
        <w:spacing w:line="360" w:lineRule="auto"/>
        <w:ind w:firstLine="1134"/>
        <w:jc w:val="both"/>
        <w:rPr>
          <w:lang w:val="es-AR" w:eastAsia="es-AR" w:bidi="es-AR"/>
        </w:rPr>
      </w:pPr>
      <w:r>
        <w:rPr>
          <w:lang w:val="es-AR" w:eastAsia="es-AR" w:bidi="es-AR"/>
        </w:rPr>
        <w:t xml:space="preserve">Es que ya no se trata simplemente de analizar la vinculación fáctica-jurídica entre un antecedente –el hecho generador- y un consecuente –el daño resarcible-, sino que en esta instancia analítica es preciso también deslindar el perjuicio originario de su respectivo agravamiento ulterior, como condición ineludible para poder ponderar la incidencia causal de la conducta de la víctima en la etapa del post-daño (Cf. MOREA, Adrián, El deber de mitigar el daño por parte de la víctima, Tesis doctoral, Pontificia Universidad Católica Argentina, publicada en Editorial Dialnet, 2016).</w:t>
      </w:r>
    </w:p>
    <w:p>
      <w:pPr>
        <w:pStyle w:val="[Normal]"/>
        <w:spacing w:line="360" w:lineRule="auto"/>
        <w:ind w:firstLine="1134"/>
        <w:jc w:val="both"/>
        <w:rPr>
          <w:lang w:val="es-AR" w:eastAsia="es-AR" w:bidi="es-AR"/>
        </w:rPr>
      </w:pPr>
      <w:r>
        <w:rPr>
          <w:lang w:val="es-AR" w:eastAsia="es-AR" w:bidi="es-AR"/>
        </w:rPr>
        <w:t xml:space="preserve"> En la especie, habrá que determinar qué porción del daño resulta atribuible a la conducta del responsable, y qué porción del daño es endilgable a la omisión antijurídica (falta de uso de casco).</w:t>
      </w:r>
    </w:p>
    <w:p>
      <w:pPr>
        <w:pStyle w:val="[Normal]"/>
        <w:spacing w:line="360" w:lineRule="auto"/>
        <w:ind w:firstLine="1134"/>
        <w:jc w:val="both"/>
        <w:rPr>
          <w:lang w:val="es-AR" w:eastAsia="es-AR" w:bidi="es-AR"/>
        </w:rPr>
      </w:pPr>
      <w:r>
        <w:rPr>
          <w:lang w:val="es-AR" w:eastAsia="es-AR" w:bidi="es-AR"/>
        </w:rPr>
        <w:t xml:space="preserve">Precisamente la matriz omisiva del “mayor daño” coloca al juez ante un juicio contrafáctico -nexo de evitación- que no replica la lógica binaria de la causación activa. Aquí no se averigua si un antecedente produjo el resultado, sino si la conducta debida omitida (uso de casco u otras medidas razonables) lo habría evitado o atenuado. Ese examen exige modelizar escenarios hipotéticos, asignar probabilidades a efectos preventivos y deslindar con fineza el daño originario de su agravamiento ulterior. </w:t>
      </w:r>
    </w:p>
    <w:p>
      <w:pPr>
        <w:pStyle w:val="[Normal]"/>
        <w:spacing w:line="360" w:lineRule="auto"/>
        <w:ind w:firstLine="1134"/>
        <w:jc w:val="both"/>
        <w:rPr>
          <w:lang w:val="es-AR" w:eastAsia="es-AR" w:bidi="es-AR"/>
        </w:rPr>
      </w:pPr>
      <w:r>
        <w:rPr>
          <w:lang w:val="es-AR" w:eastAsia="es-AR" w:bidi="es-AR"/>
        </w:rPr>
        <w:t xml:space="preserve">En términos normativos, la causalidad adecuada (art. 1726 CCyC) y la concausa de la víctima (art. 1729 CCyC) operan sobre un soporte probatorio esencialmente probabilístico; de ahí que la sana crítica (art. 384 CPCCBA) y la equidad funcional de la reparación (arts. 1738 y 1740 CCyC) cobren preeminencia sobre reglas cerradas.</w:t>
      </w:r>
    </w:p>
    <w:p>
      <w:pPr>
        <w:pStyle w:val="[Normal]"/>
        <w:spacing w:line="360" w:lineRule="auto"/>
        <w:ind w:firstLine="1134"/>
        <w:jc w:val="both"/>
        <w:rPr>
          <w:lang w:val="es-AR" w:eastAsia="es-AR" w:bidi="es-AR"/>
        </w:rPr>
      </w:pPr>
      <w:r>
        <w:rPr>
          <w:lang w:val="es-AR" w:eastAsia="es-AR" w:bidi="es-AR"/>
        </w:rPr>
        <w:t xml:space="preserve">Esa estructura epistémica -contrafácticos, probabilidades, desagregación del daño en tramos evitables y no evitables- justifica reconocer un mayor margen de apreciación judicial para fijar la proporción de reducción. Primero, porque la evidencia disponible raramente ofrece certezas deterministas (el dictamen habla de atenuación probable, no de eliminación segura); segundo, porque la eficacia preventiva varía según el tipo y ajuste del medio omitido, el vector lesivo y las condiciones del caso, lo que impide trasladar porcentajes rígidos entre asuntos; y tercero, porque el deslinde entre daño inicial y agravamiento requiere juicios de ponderación que integran datos de la realidad con criterios de razonabilidad jurídica. En tal contexto, la determinación de la cuota de “mayor daño” no es un cálculo automático sino una decisión prudencial fundada, que debe expresar por qué, a partir de la prueba, se excluye un tramo mayoritario, medio o menor del perjuicio.</w:t>
      </w:r>
    </w:p>
    <w:p>
      <w:pPr>
        <w:pStyle w:val="[Normal]"/>
        <w:spacing w:line="360" w:lineRule="auto"/>
        <w:ind w:firstLine="1134"/>
        <w:jc w:val="both"/>
        <w:rPr>
          <w:lang w:val="es-AR" w:eastAsia="es-AR" w:bidi="es-AR"/>
        </w:rPr>
      </w:pPr>
      <w:r>
        <w:rPr>
          <w:lang w:val="es-AR" w:eastAsia="es-AR" w:bidi="es-AR"/>
        </w:rPr>
        <w:t xml:space="preserve">Corresponde entonces habilitar un margen discrecional más amplio al juzgador para fijar la reducción -siempre dentro de bandas razonables y con apoyo en la pericia y la experiencia-, y reservar a la alzada un control de arbitrariedad, coherencia interna y suficiencia de fundamentos. A nivel sistémico, esta solución concilia los arts. 1726, 1729 y 1740 CCyC con la regla de uso de casco (art. 40 inc. j, Ley 24.449), respeta la función del criterio de “mayor daño” receptado en la sentencia y se apoya en la pericia y la sana crítica (art. 384 CPCCBA), evitando los dos excesos: ni trasladar a la víctima el 100% del segmento sin respaldo técnico, ni ignorar la infracción que incrementó significativamente la magnitud lesiva.</w:t>
      </w:r>
    </w:p>
    <w:p>
      <w:pPr>
        <w:pStyle w:val="[Normal]"/>
        <w:spacing w:line="360" w:lineRule="auto"/>
        <w:ind w:firstLine="1134"/>
        <w:jc w:val="both"/>
        <w:rPr>
          <w:lang w:val="es-AR" w:eastAsia="es-AR" w:bidi="es-AR"/>
        </w:rPr>
      </w:pPr>
    </w:p>
    <w:p>
      <w:pPr>
        <w:pStyle w:val="[Normal]"/>
        <w:spacing w:line="360" w:lineRule="auto"/>
        <w:ind w:firstLine="1134"/>
        <w:jc w:val="both"/>
        <w:rPr>
          <w:lang w:val="es-AR" w:eastAsia="es-AR" w:bidi="es-AR"/>
        </w:rPr>
      </w:pPr>
    </w:p>
    <w:p>
      <w:pPr>
        <w:pStyle w:val="[Normal]"/>
        <w:spacing w:line="360" w:lineRule="auto"/>
        <w:ind w:firstLine="1134"/>
        <w:jc w:val="both"/>
        <w:rPr>
          <w:lang w:val="es-AR" w:eastAsia="es-AR" w:bidi="es-AR"/>
        </w:rPr>
      </w:pPr>
      <w:r>
        <w:rPr>
          <w:lang w:val="es-AR" w:eastAsia="es-AR" w:bidi="es-AR"/>
        </w:rPr>
        <w:t xml:space="preserve">IX).- Conclusión sobre la responsabilidad y cuantificación del daño:</w:t>
      </w:r>
    </w:p>
    <w:p>
      <w:pPr>
        <w:pStyle w:val="[Normal]"/>
        <w:spacing w:line="360" w:lineRule="auto"/>
        <w:ind w:firstLine="1134"/>
        <w:jc w:val="both"/>
        <w:rPr>
          <w:lang w:val="es-AR" w:eastAsia="es-AR" w:bidi="es-AR"/>
        </w:rPr>
      </w:pPr>
      <w:r>
        <w:rPr>
          <w:lang w:val="es-AR" w:eastAsia="es-AR" w:bidi="es-AR"/>
        </w:rPr>
        <w:t xml:space="preserve">De lo expuesto se sigue que corresponde revocar la sentencia de grado en cuanto rechazó la demanda con fundamento en la interrupción total del nexo causal por la falta de casco de la víctima, y hacer lugar a la acción entablada, atribuyendo responsabilidad por el hecho a los codemandados Daniel Robledo y Lucas Tomás Mártire, con la consiguiente extensión de la condena a la citada en garantía Seguros Bernardino Rivadavia Coop. Ltda. en los términos del contrato de seguro cuya vigencia ha quedado confirmada en el punto II de este pronunciamiento (art. 118, Ley 17.418). Proponiendo un reparto causal del 60% a cargo de la parte demandada por las motivaciones dadas en los considerandos del presente.-</w:t>
      </w:r>
    </w:p>
    <w:p>
      <w:pPr>
        <w:pStyle w:val="[Normal]"/>
        <w:spacing w:line="360" w:lineRule="auto"/>
        <w:ind w:firstLine="1134"/>
        <w:jc w:val="both"/>
        <w:rPr>
          <w:lang w:val="es-AR" w:eastAsia="es-AR" w:bidi="es-AR"/>
        </w:rPr>
      </w:pPr>
      <w:r>
        <w:rPr>
          <w:lang w:val="es-AR" w:eastAsia="es-AR" w:bidi="es-AR"/>
        </w:rPr>
        <w:t xml:space="preserve">X) Los rubros y su cuantificación: </w:t>
      </w:r>
    </w:p>
    <w:p>
      <w:pPr>
        <w:pStyle w:val="[Normal]"/>
        <w:spacing w:line="360" w:lineRule="auto"/>
        <w:ind w:firstLine="1134"/>
        <w:jc w:val="both"/>
        <w:rPr>
          <w:lang w:val="es-AR" w:eastAsia="es-AR" w:bidi="es-AR"/>
        </w:rPr>
      </w:pPr>
      <w:r>
        <w:rPr>
          <w:lang w:val="es-AR" w:eastAsia="es-AR" w:bidi="es-AR"/>
        </w:rPr>
        <w:t xml:space="preserve">Dilucidada la cuestión relativa a la responsabilidad corresponde ingresar al tratamiento de los rubros indemnizatorios reclamados que no fueron objeto de análisis en la instancia de grado, toda vez que el rechazo de la demanda allí dispuesto tornó innecesario su tratamiento.-</w:t>
      </w:r>
    </w:p>
    <w:p>
      <w:pPr>
        <w:pStyle w:val="[Normal]"/>
        <w:spacing w:line="360" w:lineRule="auto"/>
        <w:ind w:firstLine="1134"/>
        <w:jc w:val="both"/>
        <w:rPr>
          <w:lang w:val="es-AR" w:eastAsia="es-AR" w:bidi="es-AR"/>
        </w:rPr>
      </w:pPr>
      <w:r>
        <w:rPr>
          <w:u w:val="single"/>
          <w:lang w:val="es-AR" w:eastAsia="es-AR" w:bidi="es-AR"/>
        </w:rPr>
        <w:t xml:space="preserve">Valor vida:</w:t>
      </w:r>
    </w:p>
    <w:p>
      <w:pPr>
        <w:pStyle w:val="[Normal]"/>
        <w:spacing w:line="360" w:lineRule="auto"/>
        <w:ind w:firstLine="1134"/>
        <w:jc w:val="both"/>
        <w:rPr>
          <w:lang w:val="es-AR" w:eastAsia="es-AR" w:bidi="es-AR"/>
        </w:rPr>
      </w:pPr>
      <w:r>
        <w:rPr>
          <w:lang w:val="es-AR" w:eastAsia="es-AR" w:bidi="es-AR"/>
        </w:rPr>
        <w:t xml:space="preserve">Corresponde comenzar por el tratamiento del daño derivado del fallecimiento del progenitor, reclamado en favor de sus hijos menores de edad, de conformidad con lo previsto por el art. 1745 inc. b) del Código Civil y Comercial.</w:t>
      </w:r>
    </w:p>
    <w:p>
      <w:pPr>
        <w:pStyle w:val="[Normal]"/>
        <w:spacing w:line="360" w:lineRule="auto"/>
        <w:ind w:firstLine="1134"/>
        <w:jc w:val="both"/>
        <w:rPr>
          <w:lang w:val="es-AR" w:eastAsia="es-AR" w:bidi="es-AR"/>
        </w:rPr>
      </w:pPr>
      <w:r>
        <w:rPr>
          <w:lang w:val="es-AR" w:eastAsia="es-AR" w:bidi="es-AR"/>
        </w:rPr>
        <w:t xml:space="preserve">Se pronunció la Suprema Corte de Justicia provincial que señaló que “la valoración de la vida humana no es, en principio, otra cosa que la medición de la cuantía del perjuicio que sufren aquellos para los que el causante producía, desde el instante en que esta fuente de ingresos se extingue; o sea que lo que se mide en signos económicos no es la vida misma que ha cesado, sino las consecuencias que recaen sobre otros patrimonios por la brusca interrupción de una actividad creadora y productora de bienes” (conf. S.C.B.A., causas C. 97.184, sent. del 22-IX-2010; C. 108.764, sent. del 12-IX-2012; C. 110.499, sent. del 26-III-2014; Cazeaux, Pedro N. y Trigo Represas, Félix A., “Derecho de las Obligaciones”, 4ª ed., LL, 2010, t. IV, p. 607) (Cámara de Apelación en lo Civil y Comercial de Azul, Sala II, causa “Degenhart, Yesica Soledad c/ Cannaniz, Omar Alfredo y otro s/ Daños y perjuicios. Incumplimiento contractual”, expte. n.º 63.411, sentencia del 6/5/2019).-</w:t>
      </w:r>
    </w:p>
    <w:p>
      <w:pPr>
        <w:pStyle w:val="[Normal]"/>
        <w:spacing w:line="360" w:lineRule="auto"/>
        <w:ind w:firstLine="1134"/>
        <w:jc w:val="both"/>
        <w:rPr>
          <w:lang w:val="es-AR" w:eastAsia="es-AR" w:bidi="es-AR"/>
        </w:rPr>
      </w:pPr>
      <w:r>
        <w:rPr>
          <w:lang w:val="es-AR" w:eastAsia="es-AR" w:bidi="es-AR"/>
        </w:rPr>
        <w:t xml:space="preserve">Los legitimados activos (el hijo menor) en el caso de daño patrimonial por fallecimiento del padre reciben la indemnización a título "iure propio" como daño emergente, el resarcimiento por las consecuencias patrimoniales propias que la supresión de la vida ajena produjo en ellos con base en el apoyo y auxilio económico que les brindaba el fallecido, teniendo en cuenta todas las circunstancias de la víctima (capacidad productiva, edad probable de vida, sexo, relaciones de familia, etc.) y la de los damnificados (asistencia que recibía, edad, necesidades asistenciales, tiempo probable de ayuda, etc.)(CC0002 AZ 63411 S 06/05/2019 JUBA B5060826).-</w:t>
      </w:r>
    </w:p>
    <w:p>
      <w:pPr>
        <w:pStyle w:val="[Normal]"/>
        <w:spacing w:line="360" w:lineRule="auto"/>
        <w:ind w:firstLine="1134"/>
        <w:jc w:val="both"/>
        <w:rPr>
          <w:lang w:val="es-AR" w:eastAsia="es-AR" w:bidi="es-AR"/>
        </w:rPr>
      </w:pPr>
      <w:r>
        <w:rPr>
          <w:lang w:val="es-AR" w:eastAsia="es-AR" w:bidi="es-AR"/>
        </w:rPr>
        <w:t xml:space="preserve">En el caso, se trata de dos niños que al momento del accidente contaban con tres años de edad. Asimismo, surge acreditado de las constancias de la causa que ambos nacieron en condición de prematuros extremos a las 26 semanas de gestación circunstancia que resulta relevante al momento de ponderar las consecuencias patrimoniales que la pérdida de su progenitor proyecta sobre su futuro.</w:t>
      </w:r>
    </w:p>
    <w:p>
      <w:pPr>
        <w:pStyle w:val="[Normal]"/>
        <w:spacing w:line="360" w:lineRule="auto"/>
        <w:ind w:firstLine="1134"/>
        <w:jc w:val="both"/>
        <w:rPr>
          <w:lang w:val="es-AR" w:eastAsia="es-AR" w:bidi="es-AR"/>
        </w:rPr>
      </w:pPr>
      <w:r>
        <w:rPr>
          <w:lang w:val="es-AR" w:eastAsia="es-AR" w:bidi="es-AR"/>
        </w:rPr>
        <w:t xml:space="preserve">En particular, respecto del menor F.L. se encuentra acreditado el diagnóstico de síndrome de West asociado a retraso madurativo, epilepsia, retraso severo del lenguaje mixto y dificultades de motricidad. Por su parte, J.M.L. surge acreditado el diagnóstico de retraso madurativo, alto riesgo neuropsicosensorial, con retraso global y compromiso del área del lenguaje.-</w:t>
      </w:r>
    </w:p>
    <w:p>
      <w:pPr>
        <w:pStyle w:val="[Normal]"/>
        <w:spacing w:line="360" w:lineRule="auto"/>
        <w:ind w:firstLine="1134"/>
        <w:jc w:val="both"/>
        <w:rPr>
          <w:lang w:val="es-AR" w:eastAsia="es-AR" w:bidi="es-AR"/>
        </w:rPr>
      </w:pPr>
      <w:r>
        <w:rPr>
          <w:lang w:val="es-AR" w:eastAsia="es-AR" w:bidi="es-AR"/>
        </w:rPr>
        <w:t xml:space="preserve">Tales circunstancias evidencian que no se trata, en el caso, de menores respecto de quienes pueda presumirse que al alcanzar la mayoría de edad o los veintiún años se encontrarán en condiciones de procurarse autónomamente los medios necesarios para su subsistencia. Por el contrario, las particulares condiciones de desarrollo acreditadas permiten concluir que requieren un especial nivel de asistencia y apoyo, circunstancia que necesariamente debe ser ponderada al determinar la extensión temporal del perjuicio derivado de la muerte de su padre.-</w:t>
      </w:r>
    </w:p>
    <w:p>
      <w:pPr>
        <w:pStyle w:val="[Normal]"/>
        <w:spacing w:line="360" w:lineRule="auto"/>
        <w:ind w:firstLine="1134"/>
        <w:jc w:val="both"/>
        <w:rPr>
          <w:lang w:val="es-AR" w:eastAsia="es-AR" w:bidi="es-AR"/>
        </w:rPr>
      </w:pPr>
      <w:r>
        <w:rPr>
          <w:lang w:val="es-AR" w:eastAsia="es-AR" w:bidi="es-AR"/>
        </w:rPr>
        <w:t xml:space="preserve">En este punto, si bien el art. 658 del Código Civil y Comercial establece, como regla, que la obligación alimentaria de los progenitores se extiende hasta los veintiún años de edad considero que dicha pauta no resulta adecuada para delimitar temporalmente el daño en el supuesto bajo examen. Ello así, pues aquella norma regula la extensión de la obligación alimentaria de los progenitores, mientras que aquí se procura resarcir las consecuencias patrimoniales derivadas de la pérdida de la asistencia que el padre de no haberse producido su fallecimiento razonablemente habría podido continuar brindando a sus hijos durante el curso de su vida.-</w:t>
      </w:r>
    </w:p>
    <w:p>
      <w:pPr>
        <w:pStyle w:val="[Normal]"/>
        <w:spacing w:line="360" w:lineRule="auto"/>
        <w:ind w:firstLine="1134"/>
        <w:jc w:val="both"/>
        <w:rPr>
          <w:lang w:val="es-AR" w:eastAsia="es-AR" w:bidi="es-AR"/>
        </w:rPr>
      </w:pPr>
      <w:r>
        <w:rPr>
          <w:lang w:val="es-AR" w:eastAsia="es-AR" w:bidi="es-AR"/>
        </w:rPr>
        <w:t xml:space="preserve">Por ello, atendiendo a las particulares circunstancias de los damnificados y a las condiciones de salud y desarrollo acreditadas en autos, no corresponde circunscribir el período indemnizable al límite temporal previsto por el art. 658 del CCyC sino ponderar el tiempo durante el cual razonablemente el causante habría podido prestarles asistencia material.-</w:t>
      </w:r>
    </w:p>
    <w:p>
      <w:pPr>
        <w:pStyle w:val="[Normal]"/>
        <w:spacing w:line="360" w:lineRule="auto"/>
        <w:ind w:firstLine="1134"/>
        <w:jc w:val="both"/>
        <w:rPr>
          <w:lang w:val="es-AR" w:eastAsia="es-AR" w:bidi="es-AR"/>
        </w:rPr>
      </w:pPr>
      <w:r>
        <w:rPr>
          <w:lang w:val="es-AR" w:eastAsia="es-AR" w:bidi="es-AR"/>
        </w:rPr>
        <w:t xml:space="preserve">A los fines de establecer una pauta objetiva para la cuantificación, corresponde considerar que el señor Lacuadra se desempeñaba laboralmente en una distribuidora de bebidas, sin que se encuentre acreditado en autos el monto concreto de sus ingresos. Ante dicha circunstancia tomaré como referencia el Salario Mínimo, Vital y Móvil, fijado en la suma de $383.800 (https://www.argentina.gob.ar/trabajo/consejodelsalario).-</w:t>
      </w:r>
    </w:p>
    <w:p>
      <w:pPr>
        <w:pStyle w:val="[Normal]"/>
        <w:spacing w:line="360" w:lineRule="auto"/>
        <w:ind w:firstLine="1134"/>
        <w:jc w:val="both"/>
        <w:rPr>
          <w:lang w:val="es-AR" w:eastAsia="es-AR" w:bidi="es-AR"/>
        </w:rPr>
      </w:pPr>
      <w:r>
        <w:rPr>
          <w:lang w:val="es-AR" w:eastAsia="es-AR" w:bidi="es-AR"/>
        </w:rPr>
        <w:t xml:space="preserve">Asimismo, y como pauta estimativa del aporte económico que el causante habría destinado a sus hijos consideraré que el 40 % de dicho ingreso habría sido su aporte mensual destinado a atender sus necesidades. Ello representa la suma de $153.520 mensuales para ambos menores. Computando la incidencia del sueldo anual complementario, se obtiene un aporte anual de $1.995.760 ($153.520 × 13).-</w:t>
      </w:r>
    </w:p>
    <w:p>
      <w:pPr>
        <w:pStyle w:val="[Normal]"/>
        <w:spacing w:line="360" w:lineRule="auto"/>
        <w:ind w:firstLine="1134"/>
        <w:jc w:val="both"/>
        <w:rPr>
          <w:lang w:val="es-AR" w:eastAsia="es-AR" w:bidi="es-AR"/>
        </w:rPr>
      </w:pPr>
      <w:r>
        <w:rPr>
          <w:lang w:val="es-AR" w:eastAsia="es-AR" w:bidi="es-AR"/>
        </w:rPr>
        <w:t xml:space="preserve">En cuanto a la extensión temporal del perjuicio, el causante contaba con 36 años de edad al momento del accidente. Teniendo en consideración las circunstancias particulares de los menores antes señaladas corresponde proyectar la asistencia económica que razonablemente habría podido brindarles durante el período de su vida en que hubiera estado en condiciones de hacerlo. A tal efecto, considero razonable establecer como límite temporal los 70 años de edad del causante, lo que determina un período indemnizable de 34 años.- Reiterando que ese límite temporal tiene en cuenta las especiales circunstancias de los menores.-</w:t>
      </w:r>
    </w:p>
    <w:p>
      <w:pPr>
        <w:pStyle w:val="[Normal]"/>
        <w:spacing w:line="360" w:lineRule="auto"/>
        <w:ind w:firstLine="1134"/>
        <w:jc w:val="both"/>
        <w:rPr>
          <w:lang w:val="es-AR" w:eastAsia="es-AR" w:bidi="es-AR"/>
        </w:rPr>
      </w:pPr>
      <w:r>
        <w:rPr>
          <w:lang w:val="es-AR" w:eastAsia="es-AR" w:bidi="es-AR"/>
        </w:rPr>
        <w:t xml:space="preserve">De tal modo, efectuando una proyección lineal del aporte económico que razonablemente habría efectuado el causante durante dicho período la cuantificación del perjuicio asciende a $67.855.840 resultado de multiplicar el aporte anual de $1.995.760 por los 34 años considerados.-</w:t>
      </w:r>
    </w:p>
    <w:p>
      <w:pPr>
        <w:pStyle w:val="[Normal]"/>
        <w:spacing w:line="360" w:lineRule="auto"/>
        <w:ind w:firstLine="1134"/>
        <w:jc w:val="both"/>
        <w:rPr>
          <w:lang w:val="es-AR" w:eastAsia="es-AR" w:bidi="es-AR"/>
        </w:rPr>
      </w:pPr>
      <w:r>
        <w:rPr>
          <w:lang w:val="es-AR" w:eastAsia="es-AR" w:bidi="es-AR"/>
        </w:rPr>
        <w:t xml:space="preserve">Dicho importe corresponde a ambos damnificados en conjunto, por lo que propongo al Acuerdo fijar la indemnización en la suma de Pesos Treinta y Tres Millones Novecientos Veintisiete Mil Novecientos Veinte ($33.927.920) para cada uno de los menores F.L. y J.M.L.-</w:t>
      </w:r>
    </w:p>
    <w:p>
      <w:pPr>
        <w:pStyle w:val="[Normal]"/>
        <w:spacing w:line="360" w:lineRule="auto"/>
        <w:ind w:firstLine="1134"/>
        <w:jc w:val="both"/>
        <w:rPr>
          <w:lang w:val="es-AR" w:eastAsia="es-AR" w:bidi="es-AR"/>
        </w:rPr>
      </w:pPr>
      <w:r>
        <w:rPr>
          <w:lang w:val="es-AR" w:eastAsia="es-AR" w:bidi="es-AR"/>
        </w:rPr>
        <w:t xml:space="preserve">En lo que respecta a la cónyuge, María Victoria Montaño, también se encuentra legitimada para reclamar las consecuencias patrimoniales derivadas del fallecimiento de su esposo, en los términos del art. 1745 inc. b) del Código Civil y Comercial.-</w:t>
      </w:r>
    </w:p>
    <w:p>
      <w:pPr>
        <w:pStyle w:val="[Normal]"/>
        <w:spacing w:line="360" w:lineRule="auto"/>
        <w:ind w:firstLine="1134"/>
        <w:jc w:val="both"/>
        <w:rPr>
          <w:lang w:val="es-AR" w:eastAsia="es-AR" w:bidi="es-AR"/>
        </w:rPr>
      </w:pPr>
      <w:r>
        <w:rPr>
          <w:lang w:val="es-AR" w:eastAsia="es-AR" w:bidi="es-AR"/>
        </w:rPr>
        <w:t xml:space="preserve">En su caso, la cuantificación debe atender a circunstancias diferentes de las ponderadas respecto de los hijos. En particular, la señora Montaño cuenta con una actividad laboral propia circunstancia que impide presumir que la totalidad de los ingresos del causante estuviera destinada a su sostenimiento económico.-</w:t>
      </w:r>
    </w:p>
    <w:p>
      <w:pPr>
        <w:pStyle w:val="[Normal]"/>
        <w:spacing w:line="360" w:lineRule="auto"/>
        <w:ind w:firstLine="1134"/>
        <w:jc w:val="both"/>
        <w:rPr>
          <w:lang w:val="es-AR" w:eastAsia="es-AR" w:bidi="es-AR"/>
        </w:rPr>
      </w:pPr>
      <w:r>
        <w:rPr>
          <w:lang w:val="es-AR" w:eastAsia="es-AR" w:bidi="es-AR"/>
        </w:rPr>
        <w:t xml:space="preserve">La vida en común entre los cónyuges supone una contribución recíproca que comprende la participación en los gastos propios de la vida en común y en las necesidades cotidianas del hogar así como la colaboración material en las distintas tareas y actividades que hacen a su organización tales como la atención de enfermedades, la realización de compras y trámites y demás quehaceres cotidianos.-</w:t>
      </w:r>
    </w:p>
    <w:p>
      <w:pPr>
        <w:pStyle w:val="[Normal]"/>
        <w:spacing w:line="360" w:lineRule="auto"/>
        <w:ind w:firstLine="1134"/>
        <w:jc w:val="both"/>
        <w:rPr>
          <w:lang w:val="es-AR" w:eastAsia="es-AR" w:bidi="es-AR"/>
        </w:rPr>
      </w:pPr>
      <w:r>
        <w:rPr>
          <w:lang w:val="es-AR" w:eastAsia="es-AR" w:bidi="es-AR"/>
        </w:rPr>
        <w:t xml:space="preserve">Ahora bien, no se han aportado elementos concretos que permitan establecer con precisión cuál era la efectiva contribución económica que realizaba el causante en el marco de la vida en común, ni cuál era, en términos patrimoniales, la entidad concreta del perjuicio que su fallecimiento ocasionó a la cónyuge. En tales condiciones, la determinación del daño necesariamente debe efectuarse mediante una estimación prudencial, a partir de las circunstancias acreditadas en autos y de aquello que razonablemente puede presumirse que habría continuado aportando el causante.-</w:t>
      </w:r>
    </w:p>
    <w:p>
      <w:pPr>
        <w:pStyle w:val="[Normal]"/>
        <w:spacing w:line="360" w:lineRule="auto"/>
        <w:ind w:firstLine="1134"/>
        <w:jc w:val="both"/>
        <w:rPr>
          <w:lang w:val="es-AR" w:eastAsia="es-AR" w:bidi="es-AR"/>
        </w:rPr>
      </w:pPr>
      <w:r>
        <w:rPr>
          <w:lang w:val="es-AR" w:eastAsia="es-AR" w:bidi="es-AR"/>
        </w:rPr>
        <w:t xml:space="preserve">Desde esa perspectiva, considero razonable adoptar como pauta de estimación que el 20 % de los ingresos de referencia habría constituido una contribución destinada a los gastos y necesidades propios de la vida en común, cuya pérdida proyecta sus consecuencias sobre la situación patrimonial de la cónyuge. Pondero, asimismo, que se ha establecido un 40 % de sus ingresos como aporte destinado a sus hijos, mientras que un 20 % se estima prudencialmente destinado a colaborar con la cónyuge en la atención del hogar familiar</w:t>
      </w:r>
      <w:r>
        <w:rPr>
          <w:u w:val="single"/>
          <w:lang w:val="es-AR" w:eastAsia="es-AR" w:bidi="es-AR"/>
        </w:rPr>
        <w:t xml:space="preserve">,</w:t>
      </w:r>
      <w:r>
        <w:rPr>
          <w:lang w:val="es-AR" w:eastAsia="es-AR" w:bidi="es-AR"/>
        </w:rPr>
        <w:t xml:space="preserve"> por lo que el porcentaje restante debe entenderse destinado a atender los propios gastos y necesidades personales del causante.-</w:t>
      </w:r>
    </w:p>
    <w:p>
      <w:pPr>
        <w:pStyle w:val="[Normal]"/>
        <w:spacing w:line="360" w:lineRule="auto"/>
        <w:ind w:firstLine="1134"/>
        <w:jc w:val="both"/>
        <w:rPr>
          <w:lang w:val="es-AR" w:eastAsia="es-AR" w:bidi="es-AR"/>
        </w:rPr>
      </w:pPr>
      <w:r>
        <w:rPr>
          <w:lang w:val="es-AR" w:eastAsia="es-AR" w:bidi="es-AR"/>
        </w:rPr>
        <w:t xml:space="preserve">Ello adquiere particular relevancia en el caso, dado que, como consecuencia del fallecimiento, la señora Montaño quedó a cargo de sus dos hijos menores, quienes presentan las particulares condiciones de salud y desarrollo ya descriptas y requieren asistencia y cuidados especiales.-</w:t>
      </w:r>
    </w:p>
    <w:p>
      <w:pPr>
        <w:pStyle w:val="[Normal]"/>
        <w:spacing w:line="360" w:lineRule="auto"/>
        <w:ind w:firstLine="1134"/>
        <w:jc w:val="both"/>
        <w:rPr>
          <w:lang w:val="es-AR" w:eastAsia="es-AR" w:bidi="es-AR"/>
        </w:rPr>
      </w:pPr>
      <w:r>
        <w:rPr>
          <w:lang w:val="es-AR" w:eastAsia="es-AR" w:bidi="es-AR"/>
        </w:rPr>
        <w:t xml:space="preserve">En similar sentido se ha dicho "</w:t>
      </w:r>
      <w:r>
        <w:rPr>
          <w:i/>
          <w:lang w:val="es-AR" w:eastAsia="es-AR" w:bidi="es-AR"/>
        </w:rPr>
        <w:t xml:space="preserve">Y ello sin perjuicio -se reitera- de que tal criterio de evaluación, por reducir el análisis al ámbito de los ingresos, resulta en principio insuficiente para el régimen de reparación integral que se pretende aplicar, puesto que no corresponde dejar afuera aspectos que hacen a la vida cotidiana del damnificado fuera de sus ingresos</w:t>
      </w:r>
      <w:r>
        <w:rPr>
          <w:lang w:val="es-AR" w:eastAsia="es-AR" w:bidi="es-AR"/>
        </w:rPr>
        <w:t xml:space="preserve">" (Cámara ll de Apelación en lo Civil y Comercial, Sala l, La Plata, en causa "PEREZ, HUGO EDUARDO c/MONTE, GUSTAVO ALEJANDRO Y OTRO/A s/DAÑOS Y PERJUICIOS" expte 132684 del 2/2/2023).-</w:t>
      </w:r>
    </w:p>
    <w:p>
      <w:pPr>
        <w:pStyle w:val="[Normal]"/>
        <w:spacing w:line="360" w:lineRule="auto"/>
        <w:ind w:firstLine="1134"/>
        <w:jc w:val="both"/>
        <w:rPr>
          <w:lang w:val="es-AR" w:eastAsia="es-AR" w:bidi="es-AR"/>
        </w:rPr>
      </w:pPr>
      <w:r>
        <w:rPr>
          <w:lang w:val="es-AR" w:eastAsia="es-AR" w:bidi="es-AR"/>
        </w:rPr>
        <w:t xml:space="preserve">En cuanto a la extensión temporal, considero adecuado tomar como pauta la edad de 65 años, en tanto referencia razonable vinculada a la edad laborativa a los fines de proyectar temporalmente el aporte económico que presumiblemente habría continuado efectuando el causante. Dicho límite temporal no constituye una afirmación acerca de la necesaria cesación de la asistencia entre los cónyuges a esa edad, sino una pauta prudencial adoptada para determinar la extensión temporal del perjuicio resarcible.-</w:t>
      </w:r>
    </w:p>
    <w:p>
      <w:pPr>
        <w:pStyle w:val="[Normal]"/>
        <w:spacing w:line="360" w:lineRule="auto"/>
        <w:ind w:firstLine="1134"/>
        <w:jc w:val="both"/>
        <w:rPr>
          <w:lang w:val="es-AR" w:eastAsia="es-AR" w:bidi="es-AR"/>
        </w:rPr>
      </w:pPr>
      <w:r>
        <w:rPr>
          <w:lang w:val="es-AR" w:eastAsia="es-AR" w:bidi="es-AR"/>
        </w:rPr>
        <w:t xml:space="preserve">Así, el 20 % del ingreso de referencia representa la suma de $76.760 mensuales que computando la incidencia del sueldo anual complementario arroja un aporte anual de $997.880 ($76.760 x 13). En cuanto a la extensión temporal, teniendo en consideración que el Sr. Lacuadra contaba con 36 años de edad al momento del fallecimiento y tomando prudencialmente los 65 años como límite de proyección, corresponde computar un período de 29 años. De tal modo, efectuando una proyección lineal del aporte económico estimado durante dicho período, la cuantificación del perjuicio asciende a la suma de $28.938.520 ($997.880 × 29).-</w:t>
      </w:r>
    </w:p>
    <w:p>
      <w:pPr>
        <w:pStyle w:val="[Normal]"/>
        <w:spacing w:line="360" w:lineRule="auto"/>
        <w:ind w:firstLine="1134"/>
        <w:jc w:val="both"/>
        <w:rPr>
          <w:lang w:val="es-AR" w:eastAsia="es-AR" w:bidi="es-AR"/>
        </w:rPr>
      </w:pPr>
      <w:r>
        <w:rPr>
          <w:lang w:val="es-AR" w:eastAsia="es-AR" w:bidi="es-AR"/>
        </w:rPr>
        <w:t xml:space="preserve">Consecuentemente, propongo al Acuerdo fijar la indemnización correspondiente al valor vida en favor de María Victoria Montaño en la suma de Pesos Veintiocho Millones Novecientos Treinta y Ocho Mil Quinientos Veinte ($28.938.520).-</w:t>
      </w:r>
    </w:p>
    <w:p>
      <w:pPr>
        <w:pStyle w:val="[Normal]"/>
        <w:spacing w:line="360" w:lineRule="auto"/>
        <w:ind w:firstLine="1134"/>
        <w:jc w:val="both"/>
        <w:rPr>
          <w:u w:val="single"/>
          <w:lang w:val="es-AR" w:eastAsia="es-AR" w:bidi="es-AR"/>
        </w:rPr>
      </w:pPr>
      <w:r>
        <w:rPr>
          <w:u w:val="single"/>
          <w:lang w:val="es-AR" w:eastAsia="es-AR" w:bidi="es-AR"/>
        </w:rPr>
        <w:t xml:space="preserve">Daño Moral:</w:t>
      </w:r>
    </w:p>
    <w:p>
      <w:pPr>
        <w:pStyle w:val="[Normal]"/>
        <w:spacing w:line="360" w:lineRule="auto"/>
        <w:ind w:firstLine="1134"/>
        <w:jc w:val="both"/>
        <w:rPr>
          <w:lang w:val="es-AR" w:eastAsia="es-AR" w:bidi="es-AR"/>
        </w:rPr>
      </w:pPr>
      <w:r>
        <w:rPr>
          <w:lang w:val="es-AR" w:eastAsia="es-AR" w:bidi="es-AR"/>
        </w:rPr>
        <w:t xml:space="preserve">La plataforma probatoria de autos -en particular, los testimonios que describen la convivencia, la cotidianeidad compartida y el impacto emocional inmediato del fallecimiento, junto con las constancias que dan cuenta del rol activo del causante en la vida familiar- resultan demostrativos de un sufrimiento espiritual intenso, específico y perdurable tanto de los menores como de la cónyuge.</w:t>
      </w:r>
    </w:p>
    <w:p>
      <w:pPr>
        <w:pStyle w:val="[Normal]"/>
        <w:spacing w:line="360" w:lineRule="auto"/>
        <w:ind w:firstLine="1134"/>
        <w:jc w:val="both"/>
        <w:rPr>
          <w:lang w:val="es-AR" w:eastAsia="es-AR" w:bidi="es-AR"/>
        </w:rPr>
      </w:pPr>
      <w:r>
        <w:rPr>
          <w:lang w:val="es-AR" w:eastAsia="es-AR" w:bidi="es-AR"/>
        </w:rPr>
        <w:t xml:space="preserve">No se trató de un mero dolor abstracto: la muerte violenta y súbita en un siniestro vial irrumpe en el centro de la vida doméstica, quiebra rutinas afectivas y priva a la familia de la presencia diaria, con efectos que trascienden lo económico y se proyectan en duelos complejos. Tales extremos, apreciados según las reglas de la sana crítica, satisfacen el estándar de verosimilitud y entidad exigido por los arts. 1738 y 1741 del Código Civil y Comercial para la reparación de consecuencias no patrimoniales.</w:t>
      </w:r>
    </w:p>
    <w:p>
      <w:pPr>
        <w:pStyle w:val="[Normal]"/>
        <w:spacing w:line="360" w:lineRule="auto"/>
        <w:ind w:firstLine="1134"/>
        <w:jc w:val="both"/>
        <w:rPr>
          <w:lang w:val="es-AR" w:eastAsia="es-AR" w:bidi="es-AR"/>
        </w:rPr>
      </w:pPr>
      <w:r>
        <w:rPr>
          <w:lang w:val="es-AR" w:eastAsia="es-AR" w:bidi="es-AR"/>
        </w:rPr>
        <w:t xml:space="preserve">La cuantificación del daño moral debe asentarse en criterios de equidad controlable y guardar proporción con la gravedad del hecho, la cercanía del vínculo y la realidad económica actual.</w:t>
      </w:r>
    </w:p>
    <w:p>
      <w:pPr>
        <w:pStyle w:val="[Normal]"/>
        <w:spacing w:line="360" w:lineRule="auto"/>
        <w:ind w:firstLine="1134"/>
        <w:jc w:val="both"/>
        <w:rPr>
          <w:lang w:val="es-AR" w:eastAsia="es-AR" w:bidi="es-AR"/>
        </w:rPr>
      </w:pPr>
      <w:r>
        <w:rPr>
          <w:lang w:val="es-AR" w:eastAsia="es-AR" w:bidi="es-AR"/>
        </w:rPr>
        <w:t xml:space="preserve">Al respecto, la Sala II de la Cámara Segunda de Apelaciones en lo Civil y Comercial de La Plata ha dicho que: </w:t>
      </w:r>
      <w:r>
        <w:rPr>
          <w:i/>
          <w:lang w:val="es-AR" w:eastAsia="es-AR" w:bidi="es-AR"/>
        </w:rPr>
        <w:t xml:space="preserve">"La muerte repentina e inesperada de un ser querido genera un padecimiento, un dolor, una afección tan profunda que conmueve la estructura familiar toda y no se requiere prueba fehaciente de ello. Es que la muerte de una persona de tan estrecha relación biológica los priva de su compañía, de su apoyo familiar, de su proyecto en definitiva que produce per se un daño moral del cual encuentro absoluta certeza que ha sucedido y debe ser indemnizado"</w:t>
      </w:r>
      <w:r>
        <w:rPr>
          <w:lang w:val="es-AR" w:eastAsia="es-AR" w:bidi="es-AR"/>
        </w:rPr>
        <w:t xml:space="preserve"> (CC0202 LP 139757, </w:t>
      </w:r>
      <w:r>
        <w:rPr>
          <w:i/>
          <w:lang w:val="es-AR" w:eastAsia="es-AR" w:bidi="es-AR"/>
        </w:rPr>
        <w:t xml:space="preserve">"MARQUEZ VALDIVIEZO JUAN Y OTROS C/ RIQUE ANGEL OSVALDO Y OTROS S/ DAÑOS Y PERJ. POR USO AUTOMOT. (C/LES. O MUERTE"</w:t>
      </w:r>
      <w:r>
        <w:rPr>
          <w:lang w:val="es-AR" w:eastAsia="es-AR" w:bidi="es-AR"/>
        </w:rPr>
        <w:t xml:space="preserve">  RS 296/25 S 02/10/2025 ).</w:t>
      </w:r>
    </w:p>
    <w:p>
      <w:pPr>
        <w:pStyle w:val="[Normal]"/>
        <w:spacing w:line="360" w:lineRule="auto"/>
        <w:ind w:firstLine="1134"/>
        <w:jc w:val="both"/>
        <w:rPr>
          <w:lang w:val="es-AR" w:eastAsia="es-AR" w:bidi="es-AR"/>
        </w:rPr>
      </w:pPr>
      <w:r>
        <w:rPr>
          <w:lang w:val="es-AR" w:eastAsia="es-AR" w:bidi="es-AR"/>
        </w:rPr>
        <w:t xml:space="preserve">Las sumas que se fijen deben traducir entonces una evaluación prudente de la entidad del sufrimiento demostrado en autos, evitando tanto la insuficiencia de montos meramente simbólicos como desmesuras desvinculadas del caso concreto.</w:t>
      </w:r>
    </w:p>
    <w:p>
      <w:pPr>
        <w:pStyle w:val="[Normal]"/>
        <w:spacing w:line="360" w:lineRule="auto"/>
        <w:ind w:firstLine="1134"/>
        <w:jc w:val="both"/>
        <w:rPr>
          <w:lang w:val="es-AR" w:eastAsia="es-AR" w:bidi="es-AR"/>
        </w:rPr>
      </w:pPr>
      <w:r>
        <w:rPr>
          <w:lang w:val="es-AR" w:eastAsia="es-AR" w:bidi="es-AR"/>
        </w:rPr>
        <w:t xml:space="preserve">La solución, además, tiene que armonizar con los parámetros que esta Alzada viene empleando en supuestos de muerte con núcleo familiar conviviente, donde se reconoce la necesidad de cuantías que reflejen en valores actuales la magnitud del menoscabo espiritual. </w:t>
      </w:r>
    </w:p>
    <w:p>
      <w:pPr>
        <w:pStyle w:val="[Normal]"/>
        <w:spacing w:line="360" w:lineRule="auto"/>
        <w:ind w:firstLine="1134"/>
        <w:jc w:val="both"/>
        <w:rPr>
          <w:lang w:val="es-AR" w:eastAsia="es-AR" w:bidi="es-AR"/>
        </w:rPr>
      </w:pPr>
      <w:r>
        <w:rPr>
          <w:lang w:val="es-AR" w:eastAsia="es-AR" w:bidi="es-AR"/>
        </w:rPr>
        <w:t xml:space="preserve">A la luz de las consideraciones precedentemente expuestas,</w:t>
      </w:r>
      <w:r>
        <w:rPr>
          <w:lang w:val="es-AR" w:eastAsia="es-AR" w:bidi="es-AR"/>
        </w:rPr>
        <w:t xml:space="preserve"> corresponde admitir el rubro daño moral y fijar la indemnización en favor de los menores F.L y J.M.L en la suma de Pesos Doce Millones ($12.000.000), para cada uno de ellos. Asimismo, corresponde fijar el monto indemnizatorio por este rubro en favor de la señora María Victoria Montaño en la suma de Pesos Quince Millones ($15.000.000).-</w:t>
      </w:r>
    </w:p>
    <w:p>
      <w:pPr>
        <w:pStyle w:val="[Normal]"/>
        <w:spacing w:line="360" w:lineRule="auto"/>
        <w:ind w:firstLine="1134"/>
        <w:jc w:val="both"/>
        <w:rPr>
          <w:lang w:val="es-AR" w:eastAsia="es-AR" w:bidi="es-AR"/>
        </w:rPr>
      </w:pPr>
      <w:r>
        <w:rPr>
          <w:lang w:val="es-AR" w:eastAsia="es-AR" w:bidi="es-AR"/>
        </w:rPr>
        <w:t xml:space="preserve">Xl).- Intereses:</w:t>
      </w:r>
    </w:p>
    <w:p>
      <w:pPr>
        <w:pStyle w:val="[Normal]"/>
        <w:spacing w:line="360" w:lineRule="auto"/>
        <w:ind w:firstLine="1134"/>
        <w:jc w:val="both"/>
        <w:rPr>
          <w:lang w:val="es-AR" w:eastAsia="es-AR" w:bidi="es-AR"/>
        </w:rPr>
      </w:pPr>
      <w:r>
        <w:rPr>
          <w:lang w:val="es-AR" w:eastAsia="es-AR" w:bidi="es-AR"/>
        </w:rPr>
        <w:t xml:space="preserve">En punto a los intereses se aplican a los dos rubros admitidos una tasa pura del 6% a devengarse desde la fecha del hecho (26-11-2018) hasta la presente sentencia. </w:t>
      </w:r>
      <w:r>
        <w:rPr>
          <w:color w:val="000000"/>
          <w:lang w:val="es-AR" w:eastAsia="es-AR" w:bidi="es-AR"/>
        </w:rPr>
        <w:t xml:space="preserve">Y desde allí se aplicará la tasa pasiva más alta que paga el Banco de la Provincia de Buenos Aires para sus</w:t>
      </w:r>
      <w:r>
        <w:rPr>
          <w:lang w:val="es-AR" w:eastAsia="es-AR" w:bidi="es-AR"/>
        </w:rPr>
        <w:t xml:space="preserve"> depósitos a treinta días </w:t>
      </w:r>
      <w:r>
        <w:rPr>
          <w:color w:val="000000"/>
          <w:lang w:val="es-AR" w:eastAsia="es-AR" w:bidi="es-AR"/>
        </w:rPr>
        <w:t xml:space="preserve">hasta el momento del efectivo pago </w:t>
      </w:r>
      <w:r>
        <w:rPr>
          <w:lang w:val="es-AR" w:eastAsia="es-AR" w:bidi="es-AR"/>
        </w:rPr>
        <w:t xml:space="preserve">(Cf. causas C. 101.774, "Ponce" y L. 94.446, "Ginossi" (ambas sents. de 21-X-2009) y C. 119.176, "Cabrera" (sent. de 15-VI-2016, y arts. 1737, 1738, 1739, 1740, 1744 y 1746 y Ccs. del Cgo. Civil, art. 165 del C.P.C. y C.).-</w:t>
      </w:r>
    </w:p>
    <w:p>
      <w:pPr>
        <w:pStyle w:val="[Normal]"/>
        <w:spacing w:line="360" w:lineRule="auto"/>
        <w:ind w:firstLine="1134"/>
        <w:jc w:val="both"/>
        <w:rPr>
          <w:lang w:val="es-AR" w:eastAsia="es-AR" w:bidi="es-AR"/>
        </w:rPr>
      </w:pPr>
      <w:r>
        <w:rPr>
          <w:lang w:val="es-AR" w:eastAsia="es-AR" w:bidi="es-AR"/>
        </w:rPr>
        <w:t xml:space="preserve">Xll).- Costas: </w:t>
      </w:r>
    </w:p>
    <w:p>
      <w:pPr>
        <w:pStyle w:val="[Normal]"/>
        <w:spacing w:line="360" w:lineRule="auto"/>
        <w:ind w:firstLine="1134"/>
        <w:jc w:val="both"/>
        <w:rPr>
          <w:lang w:val="es-AR" w:eastAsia="es-AR" w:bidi="es-AR"/>
        </w:rPr>
      </w:pPr>
      <w:r>
        <w:rPr>
          <w:lang w:val="es-AR" w:eastAsia="es-AR" w:bidi="es-AR"/>
        </w:rPr>
        <w:t xml:space="preserve">Atento el resultado alcanzado en ambos recursos, las costas de ambas instancias se imponen a los codemandados Daniel Robledo y Lucas Tomás Mártire y a la citada en garantía Seguros Bernardino Rivadavia Coop. Ltda., en su condición de vencidos (art. 68 CPCC), sin perjuicio de la responsabilidad concurrente de la aseguradora respecto de las costas derivadas de la excepción por ella opuesta y rechazada.</w:t>
      </w:r>
    </w:p>
    <w:p>
      <w:pPr>
        <w:pStyle w:val="[Normal]"/>
        <w:spacing w:line="360" w:lineRule="auto"/>
        <w:ind w:firstLine="1134"/>
        <w:jc w:val="both"/>
        <w:rPr>
          <w:lang w:val="es-AR" w:eastAsia="es-AR" w:bidi="es-AR"/>
        </w:rPr>
      </w:pPr>
      <w:r>
        <w:rPr>
          <w:lang w:val="es-AR" w:eastAsia="es-AR" w:bidi="es-AR"/>
        </w:rPr>
        <w:t xml:space="preserve">Por todo lo expuesto, citas legales y jurisprudenciales referidas, y lo dispuesto por los arts. 260, 261, 375, 384, 474 del CPCC, arts. 4, 46, 56 y 118 de la Ley 17.418, y arts. 1729, 1757, 1758, 1769 y 1776 del Código Civil y Comercial de la Nación,</w:t>
      </w:r>
    </w:p>
    <w:p>
      <w:pPr>
        <w:pStyle w:val="[Normal]"/>
        <w:spacing w:line="360" w:lineRule="auto"/>
        <w:ind w:firstLine="1134"/>
        <w:jc w:val="both"/>
        <w:rPr>
          <w:lang w:val="es-AR" w:eastAsia="es-AR" w:bidi="es-AR"/>
        </w:rPr>
      </w:pPr>
      <w:r>
        <w:rPr>
          <w:lang w:val="es-AR" w:eastAsia="es-AR" w:bidi="es-AR"/>
        </w:rPr>
        <w:t xml:space="preserve">Por los motivos dados propongo al colega que me sigue en orden de votación 1) Rechazar el recurso de apelación interpuesto por la citada en garantía Seguros Bernardino Rivadavia Cooperativa Limitada, desestimando el pedido de apertura a prueba y de medida para mejor proveer, y confirmando el rechazo de la excepción de falta de legitimación pasiva, con costas de Alzada a la apelante vencida.</w:t>
      </w:r>
    </w:p>
    <w:p>
      <w:pPr>
        <w:pStyle w:val="[Normal]"/>
        <w:spacing w:line="360" w:lineRule="auto"/>
        <w:ind w:firstLine="1134"/>
        <w:jc w:val="both"/>
        <w:rPr>
          <w:lang w:val="es-AR" w:eastAsia="es-AR" w:bidi="es-AR"/>
        </w:rPr>
      </w:pPr>
      <w:r>
        <w:rPr>
          <w:lang w:val="es-AR" w:eastAsia="es-AR" w:bidi="es-AR"/>
        </w:rPr>
        <w:t xml:space="preserve">2.- Hacer lugar al recurso de apelación interpuesto por la parte actora y, en consecuencia, revocar la sentencia de fecha 13/03/2026 en cuanto rechazó la demanda.</w:t>
      </w:r>
    </w:p>
    <w:p>
      <w:pPr>
        <w:pStyle w:val="[Normal]"/>
        <w:spacing w:line="360" w:lineRule="auto"/>
        <w:ind w:firstLine="1134"/>
        <w:jc w:val="both"/>
        <w:rPr>
          <w:lang w:val="es-AR" w:eastAsia="es-AR" w:bidi="es-AR"/>
        </w:rPr>
      </w:pPr>
      <w:r>
        <w:rPr>
          <w:lang w:val="es-AR" w:eastAsia="es-AR" w:bidi="es-AR"/>
        </w:rPr>
        <w:t xml:space="preserve">3.- Hacer lugar a la demanda promovida por María Victoria Montaño, por sí y en representación de sus hijos menores de edad F. y J. M. L. y Montaño, contra Daniel Robledo y Lucas Tomás Mártire, con extensión de condena a la citada en garantía Seguros Bernardino Rivadavia Coop. Ltda., en los términos del art. 118 de la Ley 17.418, atribuyendo a la parte demandada el 60% de la responsabilidad por el hecho y condenándola al pago en esa proporción, de las sumas indemnizatorias determinadas en los considerandos del presente, con más los intereses allí establecidos.-</w:t>
      </w:r>
    </w:p>
    <w:p>
      <w:pPr>
        <w:pStyle w:val="[Normal]"/>
        <w:spacing w:line="360" w:lineRule="auto"/>
        <w:ind w:firstLine="1134"/>
        <w:jc w:val="both"/>
        <w:rPr>
          <w:lang w:val="es-AR" w:eastAsia="es-AR" w:bidi="es-AR"/>
        </w:rPr>
      </w:pPr>
      <w:r>
        <w:rPr>
          <w:lang w:val="es-AR" w:eastAsia="es-AR" w:bidi="es-AR"/>
        </w:rPr>
        <w:t xml:space="preserve">4.- Imponer las costas de ambas instancias a los codemandados y a la citada en garantía vencidos (art. 68 CPCC).</w:t>
      </w:r>
    </w:p>
    <w:p>
      <w:pPr>
        <w:pStyle w:val="[Normal]"/>
        <w:spacing w:line="360" w:lineRule="auto"/>
        <w:ind w:firstLine="1134"/>
        <w:jc w:val="both"/>
        <w:rPr>
          <w:lang w:val="es-AR" w:eastAsia="es-AR" w:bidi="es-AR"/>
        </w:rPr>
      </w:pPr>
      <w:r>
        <w:rPr>
          <w:lang w:val="es-AR" w:eastAsia="es-AR" w:bidi="es-AR"/>
        </w:rPr>
        <w:t xml:space="preserve">5.- Diferir la regulación de honorarios de los profesionales intervinientes para la oportunidad en que exista base económica firme para su cálculo.</w:t>
      </w:r>
    </w:p>
    <w:p>
      <w:pPr>
        <w:pStyle w:val="[Normal]"/>
        <w:spacing w:line="360" w:lineRule="auto"/>
        <w:ind w:firstLine="1134"/>
        <w:jc w:val="both"/>
        <w:rPr>
          <w:lang w:val="es-AR" w:eastAsia="es-AR" w:bidi="es-AR"/>
        </w:rPr>
      </w:pPr>
      <w:r>
        <w:rPr>
          <w:lang w:val="es-AR" w:eastAsia="es-AR" w:bidi="es-AR"/>
        </w:rPr>
        <w:t xml:space="preserve">Por las razones dadas, citas legales de referencia y con el alcance indicado,</w:t>
      </w:r>
    </w:p>
    <w:p>
      <w:pPr>
        <w:pStyle w:val="[Normal]"/>
        <w:spacing w:line="360" w:lineRule="auto"/>
        <w:ind w:firstLine="1134"/>
        <w:jc w:val="both"/>
        <w:rPr>
          <w:lang w:val="es-AR" w:eastAsia="es-AR" w:bidi="es-AR"/>
        </w:rPr>
      </w:pPr>
      <w:r>
        <w:rPr>
          <w:b/>
          <w:lang w:val="es-AR" w:eastAsia="es-AR" w:bidi="es-AR"/>
        </w:rPr>
        <w:t xml:space="preserve">VOTO POR LA  NEGATIVA. </w:t>
      </w:r>
    </w:p>
    <w:p>
      <w:pPr>
        <w:pStyle w:val="[Normal]"/>
        <w:spacing w:line="360" w:lineRule="auto"/>
        <w:ind w:firstLine="1134"/>
        <w:jc w:val="both"/>
        <w:rPr>
          <w:lang w:val="es-AR" w:eastAsia="es-AR" w:bidi="es-AR"/>
        </w:rPr>
      </w:pPr>
      <w:r>
        <w:rPr>
          <w:lang w:val="es-AR" w:eastAsia="es-AR" w:bidi="es-AR"/>
        </w:rPr>
        <w:t xml:space="preserve">A la misma cuestión el señor Juez Roberto Degleue por análogos fundamentos votó en el mismo sentido.-</w:t>
      </w:r>
    </w:p>
    <w:p>
      <w:pPr>
        <w:pStyle w:val="[Normal]"/>
        <w:spacing w:line="360" w:lineRule="auto"/>
        <w:ind w:firstLine="1134"/>
        <w:jc w:val="both"/>
        <w:rPr>
          <w:lang w:val="es-AR" w:eastAsia="es-AR" w:bidi="es-AR"/>
        </w:rPr>
      </w:pPr>
      <w:r>
        <w:rPr>
          <w:lang w:val="es-AR" w:eastAsia="es-AR" w:bidi="es-AR"/>
        </w:rPr>
        <w:t xml:space="preserve">A la segunda cuestión la señora Jueza Graciela Scaraffia dijo: de conformidad al resultado habido al tratarse la cuestión precedente, estimo que el pronunciamiento que corresponde dictar es:</w:t>
      </w:r>
    </w:p>
    <w:p>
      <w:pPr>
        <w:pStyle w:val="[Normal]"/>
        <w:spacing w:line="360" w:lineRule="auto"/>
        <w:ind w:firstLine="1134"/>
        <w:jc w:val="both"/>
        <w:rPr>
          <w:lang w:val="es-AR" w:eastAsia="es-AR" w:bidi="es-AR"/>
        </w:rPr>
      </w:pPr>
      <w:r>
        <w:rPr>
          <w:lang w:val="es-AR" w:eastAsia="es-AR" w:bidi="es-AR"/>
        </w:rPr>
        <w:t xml:space="preserve">1) Rechazar el recurso de apelación interpuesto por la citada en garantía Seguros Bernardino Rivadavia Cooperativa Limitada, desestimando el pedido de apertura a prueba y de medida para mejor proveer, y confirmando el rechazo de la excepción de falta de legitimación pasiva, con costas de Alzada a la apelante vencida.</w:t>
      </w:r>
    </w:p>
    <w:p>
      <w:pPr>
        <w:pStyle w:val="[Normal]"/>
        <w:spacing w:line="360" w:lineRule="auto"/>
        <w:ind w:firstLine="1134"/>
        <w:jc w:val="both"/>
        <w:rPr>
          <w:lang w:val="es-AR" w:eastAsia="es-AR" w:bidi="es-AR"/>
        </w:rPr>
      </w:pPr>
      <w:r>
        <w:rPr>
          <w:lang w:val="es-AR" w:eastAsia="es-AR" w:bidi="es-AR"/>
        </w:rPr>
        <w:t xml:space="preserve">2) Hacer lugar al recurso de apelación interpuesto por la parte actora y, en consecuencia, revocar la sentencia de fecha 13/03/2026 en cuanto rechazó la demanda.</w:t>
      </w:r>
    </w:p>
    <w:p>
      <w:pPr>
        <w:pStyle w:val="[Normal]"/>
        <w:spacing w:line="360" w:lineRule="auto"/>
        <w:ind w:firstLine="1134"/>
        <w:jc w:val="both"/>
        <w:rPr>
          <w:lang w:val="es-AR" w:eastAsia="es-AR" w:bidi="es-AR"/>
        </w:rPr>
      </w:pPr>
      <w:r>
        <w:rPr>
          <w:lang w:val="es-AR" w:eastAsia="es-AR" w:bidi="es-AR"/>
        </w:rPr>
        <w:t xml:space="preserve">3) Hacer lugar a la demanda promovida por María Victoria Montaño, por sí y en representación de sus hijos menores de edad F. y J. M. L. y Montaño, contra Daniel Robledo y Lucas Tomás Mártire, con extensión de condena a la citada en garantía Seguros Bernardino Rivadavia Coop. Ltda., en los términos del art. 118 de la Ley 17.418, atribuyendo a la parte demandada el 60% de la responsabilidad por el hecho y condenándola al pago, en esa proporción, de las sumas indemnizatorias determinadas en los considerandos del presente, con más los intereses allí establecidos.</w:t>
      </w:r>
    </w:p>
    <w:p>
      <w:pPr>
        <w:pStyle w:val="[Normal]"/>
        <w:spacing w:line="360" w:lineRule="auto"/>
        <w:ind w:firstLine="1134"/>
        <w:jc w:val="both"/>
        <w:rPr>
          <w:lang w:val="es-AR" w:eastAsia="es-AR" w:bidi="es-AR"/>
        </w:rPr>
      </w:pPr>
      <w:r>
        <w:rPr>
          <w:lang w:val="es-AR" w:eastAsia="es-AR" w:bidi="es-AR"/>
        </w:rPr>
        <w:t xml:space="preserve">4) Imponer las costas de ambas instancias a los codemandados y a la citada en garantía vencidos (art. 68 CPCC).</w:t>
      </w:r>
    </w:p>
    <w:p>
      <w:pPr>
        <w:pStyle w:val="[Normal]"/>
        <w:spacing w:line="360" w:lineRule="auto"/>
        <w:ind w:firstLine="1134"/>
        <w:jc w:val="both"/>
        <w:rPr>
          <w:lang w:val="es-AR" w:eastAsia="es-AR" w:bidi="es-AR"/>
        </w:rPr>
      </w:pPr>
      <w:r>
        <w:rPr>
          <w:lang w:val="es-AR" w:eastAsia="es-AR" w:bidi="es-AR"/>
        </w:rPr>
        <w:t xml:space="preserve">5) Diferir la regulación de honorarios de los profesionales intervinientes para la oportunidad en que exista base económica firme para su cálculo.</w:t>
      </w:r>
    </w:p>
    <w:p>
      <w:pPr>
        <w:pStyle w:val="[Normal]"/>
        <w:spacing w:line="360" w:lineRule="auto"/>
        <w:ind w:firstLine="1134"/>
        <w:jc w:val="both"/>
        <w:rPr>
          <w:lang w:val="es-AR" w:eastAsia="es-AR" w:bidi="es-AR"/>
        </w:rPr>
      </w:pPr>
      <w:r>
        <w:rPr>
          <w:b/>
          <w:lang w:val="es-AR" w:eastAsia="es-AR" w:bidi="es-AR"/>
        </w:rPr>
        <w:t xml:space="preserve">ASI LO VOTO. </w:t>
      </w:r>
    </w:p>
    <w:p>
      <w:pPr>
        <w:pStyle w:val="[Normal]"/>
        <w:spacing w:line="360" w:lineRule="auto"/>
        <w:ind w:firstLine="1134"/>
        <w:jc w:val="both"/>
        <w:rPr>
          <w:lang w:val="es-AR" w:eastAsia="es-AR" w:bidi="es-AR"/>
        </w:rPr>
      </w:pPr>
      <w:r>
        <w:rPr>
          <w:lang w:val="es-AR" w:eastAsia="es-AR" w:bidi="es-AR"/>
        </w:rPr>
        <w:t xml:space="preserve">A la misma cuestión el señor Juez Roberto Degleue por análogos fundamentos votó en el mismo sentido.-</w:t>
      </w:r>
    </w:p>
    <w:p>
      <w:pPr>
        <w:pStyle w:val="[Normal]"/>
        <w:spacing w:line="360" w:lineRule="auto"/>
        <w:ind w:firstLine="1134"/>
        <w:jc w:val="both"/>
        <w:rPr>
          <w:lang w:val="es-AR" w:eastAsia="es-AR" w:bidi="es-AR"/>
        </w:rPr>
      </w:pPr>
      <w:r>
        <w:rPr>
          <w:lang w:val="es-AR" w:eastAsia="es-AR" w:bidi="es-AR"/>
        </w:rPr>
        <w:t xml:space="preserve">Con lo que terminó el presente Acuerdo, dictándose la siguiente;</w:t>
      </w:r>
    </w:p>
    <w:p>
      <w:pPr>
        <w:pStyle w:val="[Normal]"/>
        <w:spacing w:line="360" w:lineRule="auto"/>
        <w:ind w:firstLine="1134"/>
        <w:jc w:val="both"/>
        <w:rPr>
          <w:b/>
          <w:u w:val="single"/>
          <w:lang w:val="es-AR" w:eastAsia="es-AR" w:bidi="es-AR"/>
        </w:rPr>
      </w:pPr>
      <w:r>
        <w:rPr>
          <w:b/>
          <w:lang w:val="es-AR" w:eastAsia="es-AR" w:bidi="es-AR"/>
        </w:rPr>
        <w:t xml:space="preserve">S E N T E N C I A</w:t>
      </w:r>
      <w:r>
        <w:rPr>
          <w:lang w:val="es-AR" w:eastAsia="es-AR" w:bidi="es-AR"/>
        </w:rPr>
        <w:t xml:space="preserve">:</w:t>
      </w:r>
    </w:p>
    <w:p>
      <w:pPr>
        <w:pStyle w:val="[Normal]"/>
        <w:spacing w:line="360" w:lineRule="auto"/>
        <w:ind w:firstLine="1134"/>
        <w:jc w:val="both"/>
        <w:rPr>
          <w:lang w:val="es-AR" w:eastAsia="es-AR" w:bidi="es-AR"/>
        </w:rPr>
      </w:pPr>
      <w:r>
        <w:rPr>
          <w:lang w:val="es-AR" w:eastAsia="es-AR" w:bidi="es-AR"/>
        </w:rPr>
        <w:t xml:space="preserve">1) Rechazar el recurso de apelación interpuesto por la citada en garantía Seguros Bernardino Rivadavia Cooperativa Limitada, desestimando el pedido de apertura a prueba y de medida para mejor proveer, y confirmando el rechazo de la excepción de falta de legitimación pasiva, con costas de Alzada a la apelante vencida.</w:t>
      </w:r>
    </w:p>
    <w:p>
      <w:pPr>
        <w:pStyle w:val="[Normal]"/>
        <w:spacing w:line="360" w:lineRule="auto"/>
        <w:ind w:firstLine="1134"/>
        <w:jc w:val="both"/>
        <w:rPr>
          <w:lang w:val="es-AR" w:eastAsia="es-AR" w:bidi="es-AR"/>
        </w:rPr>
      </w:pPr>
      <w:r>
        <w:rPr>
          <w:lang w:val="es-AR" w:eastAsia="es-AR" w:bidi="es-AR"/>
        </w:rPr>
        <w:t xml:space="preserve">2) Hacer lugar al recurso de apelación interpuesto por la parte actora y, en consecuencia, revocar la sentencia de fecha 13/03/2026 en cuanto rechazó la demanda.</w:t>
      </w:r>
    </w:p>
    <w:p>
      <w:pPr>
        <w:pStyle w:val="[Normal]"/>
        <w:spacing w:line="360" w:lineRule="auto"/>
        <w:ind w:firstLine="1134"/>
        <w:jc w:val="both"/>
        <w:rPr>
          <w:lang w:val="es-AR" w:eastAsia="es-AR" w:bidi="es-AR"/>
        </w:rPr>
      </w:pPr>
      <w:r>
        <w:rPr>
          <w:lang w:val="es-AR" w:eastAsia="es-AR" w:bidi="es-AR"/>
        </w:rPr>
        <w:t xml:space="preserve">3) Hacer lugar a la demanda promovida por María Victoria Montaño, por sí y en representación de sus hijos menores de edad F. y J. M. L. y Montaño, contra Daniel Robledo y Lucas Tomás Mártire, con extensión de condena a la citada en garantía Seguros Bernardino Rivadavia Coop. Ltda., en los términos del art. 118 de la Ley 17.418, atribuyendo a la parte demandada el 60% de la responsabilidad por el hecho y condenándola al pago, en esa proporción, de las sumas indemnizatorias determinadas en los considerandos del presente, con más los intereses allí establecidos.</w:t>
      </w:r>
    </w:p>
    <w:p>
      <w:pPr>
        <w:pStyle w:val="[Normal]"/>
        <w:spacing w:line="360" w:lineRule="auto"/>
        <w:ind w:firstLine="1134"/>
        <w:jc w:val="both"/>
        <w:rPr>
          <w:lang w:val="es-AR" w:eastAsia="es-AR" w:bidi="es-AR"/>
        </w:rPr>
      </w:pPr>
      <w:r>
        <w:rPr>
          <w:lang w:val="es-AR" w:eastAsia="es-AR" w:bidi="es-AR"/>
        </w:rPr>
        <w:t xml:space="preserve">4) Imponer las costas de ambas instancias a los codemandados y a la citada en garantía vencidos (art. 68 CPCC).</w:t>
      </w:r>
    </w:p>
    <w:p>
      <w:pPr>
        <w:pStyle w:val="[Normal]"/>
        <w:spacing w:line="360" w:lineRule="auto"/>
        <w:ind w:firstLine="1134"/>
        <w:jc w:val="both"/>
        <w:rPr>
          <w:lang w:val="es-AR" w:eastAsia="es-AR" w:bidi="es-AR"/>
        </w:rPr>
      </w:pPr>
      <w:r>
        <w:rPr>
          <w:lang w:val="es-AR" w:eastAsia="es-AR" w:bidi="es-AR"/>
        </w:rPr>
        <w:t xml:space="preserve">5) Diferir la regulación de honorarios de los profesionales intervinientes para la oportunidad en que exista base económica firme para su cálculo.</w:t>
      </w:r>
    </w:p>
    <w:p>
      <w:pPr>
        <w:pStyle w:val="[Normal]"/>
        <w:spacing w:line="360" w:lineRule="auto"/>
        <w:ind w:firstLine="1134"/>
        <w:jc w:val="both"/>
        <w:rPr>
          <w:color w:val="000000"/>
          <w:lang w:val="es-AR" w:eastAsia="es-AR" w:bidi="es-AR"/>
        </w:rPr>
      </w:pPr>
      <w:r>
        <w:rPr>
          <w:lang w:val="es-AR" w:eastAsia="es-AR" w:bidi="es-AR"/>
        </w:rPr>
        <w:t xml:space="preserve">Regístrese. Notifíquese por Secretaría (Ac. 4013 SCBA) remitiéndose copia digital de la presente sentencia a los domicilios electrónicos de las respectivas partes. Devuélvase.-</w:t>
      </w:r>
    </w:p>
    <w:p>
      <w:pPr>
        <w:pStyle w:val="[Normal]"/>
        <w:spacing w:line="480" w:lineRule="auto"/>
        <w:ind w:firstLine="1134"/>
        <w:jc w:val="both"/>
        <w:rPr>
          <w:color w:val="000000"/>
          <w:lang w:val="es-AR" w:eastAsia="es-AR" w:bidi="es-AR"/>
        </w:rPr>
      </w:pPr>
      <w:r>
        <w:rPr>
          <w:color w:val="000000"/>
          <w:lang w:val="es-AR" w:eastAsia="es-AR" w:bidi="es-AR"/>
        </w:rPr>
        <w:t xml:space="preserve"> </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lang w:val="es-AR" w:eastAsia="es-AR" w:bidi="es-AR"/>
        </w:rPr>
      </w:pPr>
      <w:r>
        <w:rPr>
          <w:lang w:val="es-AR" w:eastAsia="es-AR" w:bidi="es-AR"/>
        </w:rPr>
        <w:br w:type="textWrapping"/>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34" w:after="134"/>
        <w:rPr>
          <w:lang w:val="es-AR" w:eastAsia="es-AR" w:bidi="es-AR"/>
        </w:rPr>
      </w:pPr>
      <w:r>
        <w:rPr>
          <w:rStyle w:val="B"/>
          <w:u w:val="single"/>
          <w:lang w:val="es-AR" w:eastAsia="es-AR" w:bidi="es-AR"/>
        </w:rPr>
        <w:t xml:space="preserve">REFERENCIAS: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34" w:after="134"/>
        <w:rPr>
          <w:lang w:val="es-AR" w:eastAsia="es-AR" w:bidi="es-AR"/>
        </w:rPr>
      </w:pPr>
      <w:r>
        <w:rPr>
          <w:lang w:val="es-AR" w:eastAsia="es-AR" w:bidi="es-AR"/>
        </w:rPr>
        <w:t xml:space="preserve">Domicilio Electrónico: 20298329639@NOTIFICACIONES.SCBA.GOV.AR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34" w:after="134"/>
        <w:rPr>
          <w:lang w:val="es-AR" w:eastAsia="es-AR" w:bidi="es-AR"/>
        </w:rPr>
      </w:pPr>
      <w:r>
        <w:rPr>
          <w:lang w:val="es-AR" w:eastAsia="es-AR" w:bidi="es-AR"/>
        </w:rPr>
        <w:t xml:space="preserve">Domicilio Electrónico: 23298328119@NOTIFICACIONES.SCBA.GOV.AR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34" w:after="134"/>
        <w:rPr>
          <w:lang w:val="es-AR" w:eastAsia="es-AR" w:bidi="es-AR"/>
        </w:rPr>
      </w:pPr>
      <w:r>
        <w:rPr>
          <w:lang w:val="es-AR" w:eastAsia="es-AR" w:bidi="es-AR"/>
        </w:rPr>
        <w:t xml:space="preserve">Domicilio Electrónico: 20237896727@NOTIFICACIONES.SCBA.GOV.AR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34" w:after="134"/>
        <w:rPr>
          <w:lang w:val="es-AR" w:eastAsia="es-AR" w:bidi="es-AR"/>
        </w:rPr>
      </w:pPr>
      <w:r>
        <w:rPr>
          <w:lang w:val="es-AR" w:eastAsia="es-AR" w:bidi="es-AR"/>
        </w:rPr>
        <w:t xml:space="preserve">Domicilio Electrónico: 20214342228@NOTIFICACIONES.SCBA.GOV.AR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34" w:after="134"/>
        <w:rPr>
          <w:lang w:val="es-AR" w:eastAsia="es-AR" w:bidi="es-AR"/>
        </w:rPr>
      </w:pPr>
      <w:r>
        <w:rPr>
          <w:lang w:val="es-AR" w:eastAsia="es-AR" w:bidi="es-AR"/>
        </w:rPr>
        <w:t xml:space="preserve">Domicilio Electrónico:</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34" w:after="134"/>
        <w:rPr>
          <w:lang w:val="es-AR" w:eastAsia="es-AR" w:bidi="es-AR"/>
        </w:rPr>
      </w:pPr>
      <w:r>
        <w:rPr>
          <w:lang w:val="es-AR" w:eastAsia="es-AR" w:bidi="es-AR"/>
        </w:rPr>
        <w:t xml:space="preserve">Funcionario Firmante: 15/09/2026 10:20:44 - SCARAFFIA Graciela Hilda - JUEZ</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34" w:after="134"/>
        <w:rPr>
          <w:lang w:val="es-AR" w:eastAsia="es-AR" w:bidi="es-AR"/>
        </w:rPr>
      </w:pPr>
      <w:r>
        <w:rPr>
          <w:lang w:val="es-AR" w:eastAsia="es-AR" w:bidi="es-AR"/>
        </w:rPr>
        <w:t xml:space="preserve">Funcionario Firmante: 15/09/2026 10:41:33 - DEGLEUE Roberto Manuel - JUEZ</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34" w:after="134"/>
        <w:rPr>
          <w:lang w:val="es-AR" w:eastAsia="es-AR" w:bidi="es-AR"/>
        </w:rPr>
      </w:pPr>
      <w:r>
        <w:rPr>
          <w:lang w:val="es-AR" w:eastAsia="es-AR" w:bidi="es-AR"/>
        </w:rPr>
        <w:t xml:space="preserve">Funcionario Firmante: 15/09/2026 11:23:55 - PELUSA Juan Cruz - AUXILIAR LETRADO</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336" w:after="336"/>
        <w:rPr>
          <w:rFonts w:ascii="BarCode 128" w:hAnsi="BarCode 128" w:eastAsia="BarCode 128" w:cs="BarCode 128"/>
          <w:sz w:val="60"/>
          <w:lang w:val="es-AR" w:eastAsia="es-AR" w:bidi="es-AR"/>
        </w:rPr>
      </w:pPr>
      <w:r>
        <w:rPr>
          <w:rFonts w:ascii="BarCode 128" w:hAnsi="BarCode 128" w:eastAsia="BarCode 128" w:cs="BarCode 128"/>
          <w:sz w:val="60"/>
          <w:lang w:val="es-AR" w:eastAsia="es-AR" w:bidi="es-AR"/>
        </w:rPr>
        <w:t xml:space="preserve">‰6X")è'!k*}Š</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12" w:after="112"/>
        <w:rPr>
          <w:sz w:val="20"/>
          <w:lang w:val="es-AR" w:eastAsia="es-AR" w:bidi="es-AR"/>
        </w:rPr>
      </w:pPr>
      <w:r>
        <w:rPr>
          <w:sz w:val="20"/>
          <w:lang w:val="es-AR" w:eastAsia="es-AR" w:bidi="es-AR"/>
        </w:rPr>
        <w:t xml:space="preserve">225602090007017510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lang w:val="es-AR" w:eastAsia="es-AR" w:bidi="es-AR"/>
        </w:rPr>
      </w:pPr>
      <w:r>
        <w:rPr>
          <w:lang w:val="es-AR" w:eastAsia="es-AR" w:bidi="es-AR"/>
        </w:rPr>
        <w:br w:type="textWrapping"/>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34" w:after="134"/>
        <w:rPr>
          <w:lang w:val="es-AR" w:eastAsia="es-AR" w:bidi="es-AR"/>
        </w:rPr>
      </w:pPr>
      <w:r>
        <w:rPr>
          <w:rStyle w:val="B"/>
          <w:lang w:val="es-AR" w:eastAsia="es-AR" w:bidi="es-AR"/>
        </w:rPr>
        <w:t xml:space="preserve">CAMARA DE APELACION EN LO CIVIL Y COMERCIAL PERGAMINO</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34" w:after="134"/>
        <w:rPr>
          <w:lang w:val="es-AR" w:eastAsia="es-AR" w:bidi="es-AR"/>
        </w:rPr>
      </w:pPr>
      <w:r>
        <w:rPr>
          <w:rStyle w:val="B"/>
          <w:u w:val="single"/>
          <w:lang w:val="es-AR" w:eastAsia="es-AR" w:bidi="es-AR"/>
        </w:rPr>
        <w:t xml:space="preserve">NO CONTIENE ARCHIVOS ADJUNTOS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34" w:after="134"/>
        <w:rPr>
          <w:lang w:val="es-AR" w:eastAsia="es-AR" w:bidi="es-AR"/>
        </w:rPr>
      </w:pPr>
      <w:r>
        <w:rPr>
          <w:lang w:val="es-AR" w:eastAsia="es-AR" w:bidi="es-AR"/>
        </w:rPr>
        <w:t xml:space="preserve">Registrado en REGISTRO DE SENTENCIAS el 15/09/2026 11:24:30 hs. bajo el número RS-146-2026 por PELUSA JUAN.</w:t>
      </w:r>
    </w:p>
    <w:p>
      <w:pPr>
        <w:pStyle w:val="[Normal]"/>
        <w:rPr>
          <w:lang w:val="es-AR" w:eastAsia="es-AR" w:bidi="es-AR"/>
        </w:rPr>
      </w:pPr>
    </w:p>
    <w:sectPr>
      <w:pgSz w:w="11906" w:h="16832"/>
      <w:pgMar w:top="2835" w:right="850" w:bottom="1134" w:left="2835" w:header="567" w:footer="567"/>
      <w:pgBorders w:display="allPages" w:offsetFrom="page"/>
    </w:sectPr>
  </w:body>
</w:document>
</file>

<file path=word/fontTable.xml><?xml version="1.0" encoding="utf-8"?>
<w:fonts xmlns:w="http://schemas.openxmlformats.org/wordprocessingml/2006/main">
  <w:font w:name="Arial">
    <w:panose1 w:val="020B0604020202020204"/>
    <w:charset w:val="00"/>
    <w:family w:val="swiss"/>
    <w:pitch w:val="variable"/>
    <w:sig w:usb0="E0002EFF" w:usb1="C000785B" w:usb2="00000009" w:usb3="00000000" w:csb0="400001FF" w:csb1="FFFF0000"/>
  </w:font>
  <w:font w:name="Times New Roman">
    <w:panose1 w:val="02020603050405020304"/>
    <w:charset w:val="00"/>
    <w:family w:val="roman"/>
    <w:pitch w:val="variable"/>
    <w:sig w:usb0="E0002EFF" w:usb1="C000785B" w:usb2="00000009" w:usb3="00000000" w:csb0="400001FF" w:csb1="FFFF0000"/>
  </w:font>
  <w:font w:name="Symbol">
    <w:panose1 w:val="05050102010706020507"/>
    <w:charset w:val="02"/>
    <w:family w:val="roman"/>
    <w:pitch w:val="variable"/>
    <w:sig w:usb0="00000000" w:usb1="00000000" w:usb2="00000000" w:usb3="00000000" w:csb0="80000000" w:csb1="00000000"/>
  </w:font>
  <w:font w:name="BarCode 128">
    <w:charset w:val="00"/>
    <w:family w:val="auto"/>
    <w:pitch w:val="variable"/>
  </w:font>
</w:fonts>
</file>

<file path=word/settings.xml><?xml version="1.0" encoding="utf-8"?>
<w:settings xmlns:w="http://schemas.openxmlformats.org/wordprocessingml/2006/main" xmlns:mc="http://schemas.openxmlformats.org/markup-compatibility/2006" xmlns:tx24="http://schemas.textcontrol.com/tx/2400" xmlns:tx25="http://schemas.textcontrol.com/tx/2500" mc:Ignorable="tx24 tx25">
  <w:bordersDoNotSurroundHeader/>
  <w:bordersDoNotSurroundFooter/>
  <w:defaultTabStop w:val="1134"/>
  <w:compat>
    <w:noExtraLineSpacing/>
  </w:compat>
  <tx24:txVer tx24:val="25.0.323.500"/>
</w:settings>
</file>

<file path=word/styles.xml><?xml version="1.0" encoding="utf-8"?>
<w:styles xmlns:w="http://schemas.openxmlformats.org/wordprocessingml/2006/main">
  <w:docDefaults>
    <w:rPrDefault>
      <w:rPr>
        <w:rFonts w:ascii="Arial"/>
        <w:sz w:val="24"/>
      </w:rPr>
    </w:rPrDefault>
  </w:docDefaults>
  <w:style w:type="paragraph" w:styleId="[Normal]" w:default="1">
    <w:name w:val="[Normal]"/>
    <w:next w:val="[Normal]"/>
    <w:qFormat/>
    <w:pPr>
      <w:widowControl w:val="off"/>
      <w:shd w:val="clear" w:color="auto" w:fill="auto"/>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after="0" w:line="240" w:lineRule="auto"/>
      <w:ind w:left="0" w:right="0" w:firstLine="0"/>
      <w:jc w:val="left"/>
    </w:pPr>
    <w:rPr>
      <w:rFonts w:ascii="Arial" w:hAnsi="Arial" w:eastAsia="Arial" w:cs="Arial"/>
      <w:b w:val="off"/>
      <w:bCs w:val="off"/>
      <w:i w:val="off"/>
      <w:iCs w:val="off"/>
      <w:strike w:val="off"/>
      <w:color w:val="auto"/>
      <w:position w:val="0"/>
      <w:sz w:val="24"/>
      <w:szCs w:val="24"/>
      <w:shd w:val="clear" w:color="auto" w:fill="auto"/>
      <w:rtl w:val="off"/>
      <w:lang w:val="x-none" w:eastAsia="x-none" w:bidi="x-none"/>
    </w:rPr>
  </w:style>
  <w:style w:type="paragraph" w:styleId="BODY">
    <w:name w:val="BODY"/>
    <w:basedOn w:val="[Normal]"/>
    <w:next w:val="BODY"/>
    <w:qFormat/>
    <w:pPr>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pPr>
    <w:rPr/>
  </w:style>
  <w:style w:type="character" w:styleId="B">
    <w:name w:val="B"/>
    <w:qFormat/>
    <w:rPr>
      <w:b/>
      <w:bCs/>
      <w:rtl w:val="off"/>
      <w:lang w:val="x-none" w:eastAsia="x-none" w:bidi="x-none"/>
    </w:rPr>
  </w:style>
</w:styles>
</file>

<file path=word/_rels/document.xml.rels><?xml version="1.0" encoding="UTF-8" standalone="yes"?><Relationships xmlns="http://schemas.openxmlformats.org/package/2006/relationships">
	<Relationship Id="rId00002" Type="http://schemas.openxmlformats.org/officeDocument/2006/relationships/styles" Target="styles.xml"/>
	<Relationship Id="rId00003" Type="http://schemas.openxmlformats.org/officeDocument/2006/relationships/fontTable" Target="fontTable.xml"/>
	<Relationship Id="rId00004" Type="http://schemas.openxmlformats.org/officeDocument/2006/relationships/settings" Target="settings.xml"/>
</Relationships>
</file>