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bin" ContentType="application/vnd.openxmlformats-officedocument.oleObject"/>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wpc="http://schemas.microsoft.com/office/word/2010/wordprocessingCanvas" xmlns:wpg="http://schemas.microsoft.com/office/word/2010/wordprocessingGroup" xmlns:wps="http://schemas.microsoft.com/office/word/2010/wordprocessingShape" xmlns:mc="http://schemas.openxmlformats.org/markup-compatibility/2006" xmlns:w14="http://schemas.microsoft.com/office/word/2010/wordml" xmlns:w15="http://schemas.microsoft.com/office/word/2012/wordml" xmlns:tx19="http://schemas.textcontrol.com/tx/1900" xmlns:tx23="http://schemas.textcontrol.com/tx/2300" mc:Ignorable="w14 w15 tx19 tx23">
  <w:body>
    <w:p>
      <w:pPr>
        <w:pStyle w:val="[Normal]"/>
        <w:spacing w:line="360" w:lineRule="auto"/>
        <w:ind w:firstLine="1134"/>
        <w:jc w:val="both"/>
        <w:rPr>
          <w:lang w:val="es-AR" w:eastAsia="es-AR" w:bidi="es-AR"/>
        </w:rPr>
      </w:pPr>
      <w:r>
        <w:rPr>
          <w:lang w:val="es-AR" w:eastAsia="es-AR" w:bidi="es-AR"/>
        </w:rPr>
        <w:t xml:space="preserve"> En la ciudad de Pergamino, reunidos en Acuerdo Ordinario los Sres. Jueces de la Excma. Cámara de Apelación en lo Civil y Comercial del Departamento Judicial Pergamino, para dictar sentencia en la causa N° </w:t>
      </w:r>
      <w:r>
        <w:rPr>
          <w:color w:val="000000"/>
          <w:lang w:val="es-AR" w:eastAsia="es-AR" w:bidi="es-AR"/>
        </w:rPr>
        <w:t xml:space="preserve">5395-24</w:t>
      </w:r>
      <w:r>
        <w:rPr>
          <w:lang w:val="es-AR" w:eastAsia="es-AR" w:bidi="es-AR"/>
        </w:rPr>
        <w:t xml:space="preserve"> caratulada </w:t>
      </w:r>
      <w:r>
        <w:rPr>
          <w:b/>
          <w:lang w:val="es-AR" w:eastAsia="es-AR" w:bidi="es-AR"/>
        </w:rPr>
        <w:t xml:space="preserve">"</w:t>
      </w:r>
      <w:r>
        <w:rPr>
          <w:b/>
          <w:color w:val="000000"/>
          <w:lang w:val="es-AR" w:eastAsia="es-AR" w:bidi="es-AR"/>
        </w:rPr>
        <w:t xml:space="preserve">LEDESMA GASTON IVAN  C/ SEGUROS BERNARDINO RIVADAVIA COOP. LTDA. S/ DAÑOS Y PERJ. INCUMP. CONTRACTUAL (EXC. ESTADO)</w:t>
      </w:r>
      <w:r>
        <w:rPr>
          <w:b/>
          <w:lang w:val="es-AR" w:eastAsia="es-AR" w:bidi="es-AR"/>
        </w:rPr>
        <w:t xml:space="preserve">"</w:t>
      </w:r>
      <w:r>
        <w:rPr>
          <w:lang w:val="es-AR" w:eastAsia="es-AR" w:bidi="es-AR"/>
        </w:rPr>
        <w:t xml:space="preserve">, Expte. 74.030</w:t>
      </w:r>
      <w:r>
        <w:rPr>
          <w:color w:val="000000"/>
          <w:lang w:val="es-AR" w:eastAsia="es-AR" w:bidi="es-AR"/>
        </w:rPr>
        <w:t xml:space="preserve"> </w:t>
      </w:r>
      <w:r>
        <w:rPr>
          <w:lang w:val="es-AR" w:eastAsia="es-AR" w:bidi="es-AR"/>
        </w:rPr>
        <w:t xml:space="preserve">del Juzgado Civil y Comercia N° 1</w:t>
      </w:r>
      <w:r>
        <w:rPr>
          <w:color w:val="0000FF"/>
          <w:lang w:val="es-AR" w:eastAsia="es-AR" w:bidi="es-AR"/>
        </w:rPr>
        <w:t xml:space="preserve">,</w:t>
      </w:r>
      <w:r>
        <w:rPr>
          <w:lang w:val="es-AR" w:eastAsia="es-AR" w:bidi="es-AR"/>
        </w:rPr>
        <w:t xml:space="preserve"> se practicó el sorteo de ley que determinó que la votación debía efectuarse en el siguiente orden: Roberto Degleue y Graciela Scaraffia, y estudiados los autos se resolvió plantear y votar las siguientes: </w:t>
      </w:r>
    </w:p>
    <w:p>
      <w:pPr>
        <w:pStyle w:val="[Normal]"/>
        <w:spacing w:line="360" w:lineRule="auto"/>
        <w:ind w:firstLine="1134"/>
        <w:jc w:val="both"/>
        <w:rPr>
          <w:lang w:val="es-AR" w:eastAsia="es-AR" w:bidi="es-AR"/>
        </w:rPr>
      </w:pPr>
      <w:r>
        <w:rPr>
          <w:b/>
          <w:lang w:val="es-AR" w:eastAsia="es-AR" w:bidi="es-AR"/>
        </w:rPr>
        <w:t xml:space="preserve">C U E S T I O N E S</w:t>
      </w:r>
      <w:r>
        <w:rPr>
          <w:lang w:val="es-AR" w:eastAsia="es-AR" w:bidi="es-AR"/>
        </w:rPr>
        <w:t xml:space="preserve">:</w:t>
      </w:r>
    </w:p>
    <w:p>
      <w:pPr>
        <w:pStyle w:val="[Normal]"/>
        <w:spacing w:line="360" w:lineRule="auto"/>
        <w:ind w:firstLine="1134"/>
        <w:jc w:val="both"/>
        <w:rPr>
          <w:lang w:val="es-AR" w:eastAsia="es-AR" w:bidi="es-AR"/>
        </w:rPr>
      </w:pPr>
      <w:r>
        <w:rPr>
          <w:lang w:val="es-AR" w:eastAsia="es-AR" w:bidi="es-AR"/>
        </w:rPr>
        <w:t xml:space="preserve">I) ¿Se ajusta a derecho la sentencia apelada?</w:t>
      </w:r>
    </w:p>
    <w:p>
      <w:pPr>
        <w:pStyle w:val="[Normal]"/>
        <w:spacing w:line="360" w:lineRule="auto"/>
        <w:ind w:firstLine="1134"/>
        <w:jc w:val="both"/>
        <w:rPr>
          <w:lang w:val="es-AR" w:eastAsia="es-AR" w:bidi="es-AR"/>
        </w:rPr>
      </w:pPr>
      <w:r>
        <w:rPr>
          <w:lang w:val="es-AR" w:eastAsia="es-AR" w:bidi="es-AR"/>
        </w:rPr>
        <w:t xml:space="preserve">II) ¿Qué pronunciamiento corresponde dictar?</w:t>
      </w:r>
    </w:p>
    <w:p>
      <w:pPr>
        <w:pStyle w:val="[Normal]"/>
        <w:spacing w:line="360" w:lineRule="auto"/>
        <w:ind w:firstLine="1134"/>
        <w:jc w:val="both"/>
        <w:rPr>
          <w:lang w:val="es-AR" w:eastAsia="es-AR" w:bidi="es-AR"/>
        </w:rPr>
      </w:pPr>
      <w:r>
        <w:rPr>
          <w:lang w:val="es-AR" w:eastAsia="es-AR" w:bidi="es-AR"/>
        </w:rPr>
        <w:t xml:space="preserve">A la primera cuestión el señor Juez Roberto Degleue dijo:</w:t>
      </w:r>
    </w:p>
    <w:p>
      <w:pPr>
        <w:pStyle w:val="[Normal]"/>
        <w:spacing w:line="360" w:lineRule="auto"/>
        <w:ind w:firstLine="1134"/>
        <w:jc w:val="both"/>
        <w:rPr>
          <w:lang w:val="es-AR" w:eastAsia="es-AR" w:bidi="es-AR"/>
        </w:rPr>
      </w:pPr>
      <w:r>
        <w:rPr>
          <w:lang w:val="es-AR" w:eastAsia="es-AR" w:bidi="es-AR"/>
        </w:rPr>
        <w:t xml:space="preserve">El señor Juez de la anterior sede hizo lugar a la demanda instaurada por el Sr. Gastón Iván Ledesma, condenando en consecuencia a Seguros Bernardino Rivadavia Cooperativa Limitada, a abonar al actor dentro de los diez días de notificada la sentencia, la suma de Pesos Seis Millones Doscientos Sesenta y cinco Mil ($6.265.000), con más sus respectivos intereses. Aplicó las costas a la parte demandada, vencida. Difirió la regulación de honorarios de los letrados intervinientes y de los peritos.</w:t>
      </w:r>
    </w:p>
    <w:p>
      <w:pPr>
        <w:pStyle w:val="[Normal]"/>
        <w:spacing w:line="360" w:lineRule="auto"/>
        <w:ind w:firstLine="1134"/>
        <w:jc w:val="both"/>
        <w:rPr>
          <w:lang w:val="es-AR" w:eastAsia="es-AR" w:bidi="es-AR"/>
        </w:rPr>
      </w:pPr>
      <w:r>
        <w:rPr>
          <w:lang w:val="es-AR" w:eastAsia="es-AR" w:bidi="es-AR"/>
        </w:rPr>
        <w:t xml:space="preserve">Disconforme con lo resuelto, apelan la parte actora el 18-3-2026, y el apoderado de la citada en garantía el 16-3-2026 quienes expresan agravios en fecha 29-4-2026 y el 13-5-2026 respectivamente. Habiendo contestado los traslados conferidos el 31-5-2026 por la parte actora y el 26-5-2026 por la citada en garantía.-</w:t>
      </w:r>
    </w:p>
    <w:p>
      <w:pPr>
        <w:pStyle w:val="[Normal]"/>
        <w:spacing w:line="360" w:lineRule="auto"/>
        <w:ind w:firstLine="1134"/>
        <w:jc w:val="both"/>
        <w:rPr>
          <w:lang w:val="es-AR" w:eastAsia="es-AR" w:bidi="es-AR"/>
        </w:rPr>
      </w:pPr>
      <w:r>
        <w:rPr>
          <w:lang w:val="es-AR" w:eastAsia="es-AR" w:bidi="es-AR"/>
        </w:rPr>
        <w:t xml:space="preserve">El 2-6-2026 llamamiento de autos para sentencia, providencia que estando firme a la fecha deja la causa en condiciones de ser tratada.</w:t>
      </w:r>
    </w:p>
    <w:p>
      <w:pPr>
        <w:pStyle w:val="[Normal]"/>
        <w:spacing w:line="360" w:lineRule="auto"/>
        <w:ind w:firstLine="1134"/>
        <w:jc w:val="both"/>
        <w:rPr>
          <w:lang w:val="es-AR" w:eastAsia="es-AR" w:bidi="es-AR"/>
        </w:rPr>
      </w:pPr>
      <w:r>
        <w:rPr>
          <w:u w:val="single"/>
          <w:lang w:val="es-AR" w:eastAsia="es-AR" w:bidi="es-AR"/>
        </w:rPr>
        <w:t xml:space="preserve">Parte actora:</w:t>
      </w:r>
    </w:p>
    <w:p>
      <w:pPr>
        <w:pStyle w:val="[Normal]"/>
        <w:spacing w:line="360" w:lineRule="auto"/>
        <w:ind w:firstLine="1134"/>
        <w:jc w:val="both"/>
        <w:rPr>
          <w:lang w:val="es-AR" w:eastAsia="es-AR" w:bidi="es-AR"/>
        </w:rPr>
      </w:pPr>
      <w:r>
        <w:rPr>
          <w:u w:val="single"/>
          <w:lang w:val="es-AR" w:eastAsia="es-AR" w:bidi="es-AR"/>
        </w:rPr>
        <w:t xml:space="preserve">Primer agravio</w:t>
      </w:r>
      <w:r>
        <w:rPr>
          <w:lang w:val="es-AR" w:eastAsia="es-AR" w:bidi="es-AR"/>
        </w:rPr>
        <w:t xml:space="preserve">: Indemnización por privación de uso.</w:t>
      </w:r>
    </w:p>
    <w:p>
      <w:pPr>
        <w:pStyle w:val="[Normal]"/>
        <w:spacing w:line="360" w:lineRule="auto"/>
        <w:ind w:firstLine="1134"/>
        <w:jc w:val="both"/>
        <w:rPr>
          <w:lang w:val="es-AR" w:eastAsia="es-AR" w:bidi="es-AR"/>
        </w:rPr>
      </w:pPr>
      <w:r>
        <w:rPr>
          <w:lang w:val="es-AR" w:eastAsia="es-AR" w:bidi="es-AR"/>
        </w:rPr>
        <w:t xml:space="preserve">Se agravia de la forma en que el juez cuantificó el rubro "privación de uso", cuestionando tres aspectos :</w:t>
      </w:r>
    </w:p>
    <w:p>
      <w:pPr>
        <w:pStyle w:val="[Normal]"/>
        <w:spacing w:line="360" w:lineRule="auto"/>
        <w:ind w:firstLine="1134"/>
        <w:jc w:val="both"/>
        <w:rPr>
          <w:lang w:val="es-AR" w:eastAsia="es-AR" w:bidi="es-AR"/>
        </w:rPr>
      </w:pPr>
      <w:r>
        <w:rPr>
          <w:lang w:val="es-AR" w:eastAsia="es-AR" w:bidi="es-AR"/>
        </w:rPr>
        <w:t xml:space="preserve">a) Limitación temporal a treinta días.</w:t>
      </w:r>
    </w:p>
    <w:p>
      <w:pPr>
        <w:pStyle w:val="[Normal]"/>
        <w:spacing w:line="360" w:lineRule="auto"/>
        <w:ind w:firstLine="1134"/>
        <w:jc w:val="both"/>
        <w:rPr>
          <w:lang w:val="es-AR" w:eastAsia="es-AR" w:bidi="es-AR"/>
        </w:rPr>
      </w:pPr>
      <w:r>
        <w:rPr>
          <w:lang w:val="es-AR" w:eastAsia="es-AR" w:bidi="es-AR"/>
        </w:rPr>
        <w:t xml:space="preserve">Sostiene que resulta arbitrario limitar la indemnización a un plazo de treinta días bajo el argumento de que constituye un tiempo razonable para reemplazar el vehículo. Afirma que el caso no versa sobre una indisponibilidad transitoria por reparación, sino sobre la pérdida total del automotor por robo, circunstancia que impedía al actor adquirir otro vehículo hasta percibir la indemnización correspondiente. En consecuencia, entiende que el plazo indemnizable debió extenderse hasta el momento en que razonablemente pudiera sustituir el rodado, sin trasladar al damnificado las consecuencias del incumplimiento contractual de la aseguradora.</w:t>
      </w:r>
    </w:p>
    <w:p>
      <w:pPr>
        <w:pStyle w:val="[Normal]"/>
        <w:spacing w:line="360" w:lineRule="auto"/>
        <w:ind w:firstLine="1134"/>
        <w:jc w:val="both"/>
        <w:rPr>
          <w:lang w:val="es-AR" w:eastAsia="es-AR" w:bidi="es-AR"/>
        </w:rPr>
      </w:pPr>
      <w:r>
        <w:rPr>
          <w:lang w:val="es-AR" w:eastAsia="es-AR" w:bidi="es-AR"/>
        </w:rPr>
        <w:t xml:space="preserve">b) Insuficiencia del monto diario.</w:t>
      </w:r>
    </w:p>
    <w:p>
      <w:pPr>
        <w:pStyle w:val="[Normal]"/>
        <w:spacing w:line="360" w:lineRule="auto"/>
        <w:ind w:firstLine="1134"/>
        <w:jc w:val="both"/>
        <w:rPr>
          <w:lang w:val="es-AR" w:eastAsia="es-AR" w:bidi="es-AR"/>
        </w:rPr>
      </w:pPr>
      <w:r>
        <w:rPr>
          <w:lang w:val="es-AR" w:eastAsia="es-AR" w:bidi="es-AR"/>
        </w:rPr>
        <w:t xml:space="preserve">Cuestiona que la indemnización haya sido fijada en $15.000 diarios, por considerarla una suma arbitraria, carente de fundamentación objetiva y ajena a los valores reales del mercado. Señala que el costo de alquiler de un vehículo similar supera ampliamente dicho importe y que el sentenciante omitió contemplar el proceso inflacionario ocurrido durante la tramitación del juicio, lo que torna ilusoria la reparación.</w:t>
      </w:r>
    </w:p>
    <w:p>
      <w:pPr>
        <w:pStyle w:val="[Normal]"/>
        <w:spacing w:line="360" w:lineRule="auto"/>
        <w:ind w:firstLine="1134"/>
        <w:jc w:val="both"/>
        <w:rPr>
          <w:lang w:val="es-AR" w:eastAsia="es-AR" w:bidi="es-AR"/>
        </w:rPr>
      </w:pPr>
      <w:r>
        <w:rPr>
          <w:lang w:val="es-AR" w:eastAsia="es-AR" w:bidi="es-AR"/>
        </w:rPr>
        <w:t xml:space="preserve">c) Deducción del 30 % por combustible y desgaste no sufrido.</w:t>
      </w:r>
    </w:p>
    <w:p>
      <w:pPr>
        <w:pStyle w:val="[Normal]"/>
        <w:spacing w:line="360" w:lineRule="auto"/>
        <w:ind w:firstLine="1134"/>
        <w:jc w:val="both"/>
        <w:rPr>
          <w:lang w:val="es-AR" w:eastAsia="es-AR" w:bidi="es-AR"/>
        </w:rPr>
      </w:pPr>
      <w:r>
        <w:rPr>
          <w:lang w:val="es-AR" w:eastAsia="es-AR" w:bidi="es-AR"/>
        </w:rPr>
        <w:t xml:space="preserve">Critica la reducción del monto indemnizatorio en concepto de gastos de combustible no consumido y desgaste evitado del vehículo. Argumenta que dicha deducción carece de respaldo probatorio y desconoce que la privación de uso obliga al damnificado a afrontar gastos alternativos de movilidad (remises, taxis, transporte público o alquiler de vehículos), los cuales sustituyen, e incluso superan, aquellos supuestos ahorros. Por ello solicita que se elimine dicha deducción por resultar infundada y contraria al principio de reparación integral.</w:t>
      </w:r>
    </w:p>
    <w:p>
      <w:pPr>
        <w:pStyle w:val="[Normal]"/>
        <w:spacing w:line="360" w:lineRule="auto"/>
        <w:ind w:firstLine="1134"/>
        <w:jc w:val="both"/>
        <w:rPr>
          <w:lang w:val="es-AR" w:eastAsia="es-AR" w:bidi="es-AR"/>
        </w:rPr>
      </w:pPr>
      <w:r>
        <w:rPr>
          <w:u w:val="single"/>
          <w:lang w:val="es-AR" w:eastAsia="es-AR" w:bidi="es-AR"/>
        </w:rPr>
        <w:t xml:space="preserve">Segundo agravio</w:t>
      </w:r>
      <w:r>
        <w:rPr>
          <w:lang w:val="es-AR" w:eastAsia="es-AR" w:bidi="es-AR"/>
        </w:rPr>
        <w:t xml:space="preserve">: Cuantificación del daño material.</w:t>
      </w:r>
    </w:p>
    <w:p>
      <w:pPr>
        <w:pStyle w:val="[Normal]"/>
        <w:spacing w:line="360" w:lineRule="auto"/>
        <w:ind w:firstLine="1134"/>
        <w:jc w:val="both"/>
        <w:rPr>
          <w:lang w:val="es-AR" w:eastAsia="es-AR" w:bidi="es-AR"/>
        </w:rPr>
      </w:pPr>
      <w:r>
        <w:rPr>
          <w:lang w:val="es-AR" w:eastAsia="es-AR" w:bidi="es-AR"/>
        </w:rPr>
        <w:t xml:space="preserve">La parte actora cuestiona la fijación del daño material en la suma de $5.950.000, por considerar que la determinación de un monto nominal al momento de la sentencia no preserva el valor real de la indemnización en un contexto de alta inflación.</w:t>
      </w:r>
    </w:p>
    <w:p>
      <w:pPr>
        <w:pStyle w:val="[Normal]"/>
        <w:spacing w:line="360" w:lineRule="auto"/>
        <w:ind w:firstLine="1134"/>
        <w:jc w:val="both"/>
        <w:rPr>
          <w:lang w:val="es-AR" w:eastAsia="es-AR" w:bidi="es-AR"/>
        </w:rPr>
      </w:pPr>
      <w:r>
        <w:rPr>
          <w:lang w:val="es-AR" w:eastAsia="es-AR" w:bidi="es-AR"/>
        </w:rPr>
        <w:t xml:space="preserve">Sostiene que, si bien el magistrado reconoció la incidencia del proceso inflacionario, incurrió en una contradicción al fijar un monto cerrado que inevitablemente perderá poder adquisitivo hasta su efectivo cobro, trasladando al actor las consecuencias de la depreciación monetaria.</w:t>
      </w:r>
    </w:p>
    <w:p>
      <w:pPr>
        <w:pStyle w:val="[Normal]"/>
        <w:spacing w:line="360" w:lineRule="auto"/>
        <w:ind w:firstLine="1134"/>
        <w:jc w:val="both"/>
        <w:rPr>
          <w:lang w:val="es-AR" w:eastAsia="es-AR" w:bidi="es-AR"/>
        </w:rPr>
      </w:pPr>
      <w:r>
        <w:rPr>
          <w:lang w:val="es-AR" w:eastAsia="es-AR" w:bidi="es-AR"/>
        </w:rPr>
        <w:t xml:space="preserve">Con fundamento en el art. 1740 del Código Civil y Comercial y en el art. 165 del CPCC, solicita que la cuantificación del daño sea diferida a la etapa de liquidación, a fin de que el crédito sea convertido a valores actualizados al momento más próximo al efectivo pago, preservando así la integridad de la reparación.</w:t>
      </w:r>
    </w:p>
    <w:p>
      <w:pPr>
        <w:pStyle w:val="[Normal]"/>
        <w:spacing w:line="360" w:lineRule="auto"/>
        <w:ind w:firstLine="1134"/>
        <w:jc w:val="both"/>
        <w:rPr>
          <w:lang w:val="es-AR" w:eastAsia="es-AR" w:bidi="es-AR"/>
        </w:rPr>
      </w:pPr>
      <w:r>
        <w:rPr>
          <w:lang w:val="es-AR" w:eastAsia="es-AR" w:bidi="es-AR"/>
        </w:rPr>
        <w:t xml:space="preserve">Invoca como sustento la doctrina legal de la Suprema Corte de Justicia de la Provincia de Buenos Aires receptada por esta Cámara en la causa Catulo Omar Ángel c/ Prado Leandro Alexis s/ Daños y Perjuicios, según la cual resulta admisible diferir la conversión de la obligación de valor en una obligación dineraria a la etapa de ejecución, utilizando parámetros económicos vigentes al momento de la liquidación.</w:t>
      </w:r>
    </w:p>
    <w:p>
      <w:pPr>
        <w:pStyle w:val="[Normal]"/>
        <w:spacing w:line="360" w:lineRule="auto"/>
        <w:ind w:firstLine="1134"/>
        <w:jc w:val="both"/>
        <w:rPr>
          <w:lang w:val="es-AR" w:eastAsia="es-AR" w:bidi="es-AR"/>
        </w:rPr>
      </w:pPr>
      <w:r>
        <w:rPr>
          <w:u w:val="single"/>
          <w:lang w:val="es-AR" w:eastAsia="es-AR" w:bidi="es-AR"/>
        </w:rPr>
        <w:t xml:space="preserve">Citada en garantía:</w:t>
      </w:r>
    </w:p>
    <w:p>
      <w:pPr>
        <w:pStyle w:val="[Normal]"/>
        <w:spacing w:line="360" w:lineRule="auto"/>
        <w:ind w:firstLine="1134"/>
        <w:jc w:val="both"/>
        <w:rPr>
          <w:lang w:val="es-AR" w:eastAsia="es-AR" w:bidi="es-AR"/>
        </w:rPr>
      </w:pPr>
      <w:r>
        <w:rPr>
          <w:u w:val="single"/>
          <w:lang w:val="es-AR" w:eastAsia="es-AR" w:bidi="es-AR"/>
        </w:rPr>
        <w:t xml:space="preserve">Primer agravio</w:t>
      </w:r>
      <w:r>
        <w:rPr>
          <w:lang w:val="es-AR" w:eastAsia="es-AR" w:bidi="es-AR"/>
        </w:rPr>
        <w:t xml:space="preserve">. Improcedencia de la indemnización por encima del límite de cobertura.</w:t>
      </w:r>
    </w:p>
    <w:p>
      <w:pPr>
        <w:pStyle w:val="[Normal]"/>
        <w:spacing w:line="360" w:lineRule="auto"/>
        <w:ind w:firstLine="1134"/>
        <w:jc w:val="both"/>
        <w:rPr>
          <w:lang w:val="es-AR" w:eastAsia="es-AR" w:bidi="es-AR"/>
        </w:rPr>
      </w:pPr>
      <w:r>
        <w:rPr>
          <w:lang w:val="es-AR" w:eastAsia="es-AR" w:bidi="es-AR"/>
        </w:rPr>
        <w:t xml:space="preserve">La apelante sostiene que la sentencia desconoce que la suma asegurada constituye el límite máximo de la obligación del asegurador. Señala que, conforme las Condiciones Generales de la póliza (CG-IN 4.2), la indemnización por destrucción total debe calcularse sobre el valor de venta al público al contado al momento del siniestro, sin exceder en ningún caso la suma asegurada.</w:t>
      </w:r>
    </w:p>
    <w:p>
      <w:pPr>
        <w:pStyle w:val="[Normal]"/>
        <w:spacing w:line="360" w:lineRule="auto"/>
        <w:ind w:firstLine="1134"/>
        <w:jc w:val="both"/>
        <w:rPr>
          <w:lang w:val="es-AR" w:eastAsia="es-AR" w:bidi="es-AR"/>
        </w:rPr>
      </w:pPr>
      <w:r>
        <w:rPr>
          <w:lang w:val="es-AR" w:eastAsia="es-AR" w:bidi="es-AR"/>
        </w:rPr>
        <w:t xml:space="preserve">Afirma que el juez otorgó una indemnización ampliamente superior al valor asegurado, aplicando una actualización que considera improcedente, por tratarse de una deuda de dinero alcanzada por el principio nominalista previsto en el artículo 765 del Código Civil y Comercial.</w:t>
      </w:r>
    </w:p>
    <w:p>
      <w:pPr>
        <w:pStyle w:val="[Normal]"/>
        <w:spacing w:line="360" w:lineRule="auto"/>
        <w:ind w:firstLine="1134"/>
        <w:jc w:val="both"/>
        <w:rPr>
          <w:lang w:val="es-AR" w:eastAsia="es-AR" w:bidi="es-AR"/>
        </w:rPr>
      </w:pPr>
      <w:r>
        <w:rPr>
          <w:lang w:val="es-AR" w:eastAsia="es-AR" w:bidi="es-AR"/>
        </w:rPr>
        <w:t xml:space="preserve">Añade que la condena genera un enriquecimiento indebido del actor, pues el monto reconocido supera incluso el valor actual de mercado de un vehículo de iguales características.</w:t>
      </w:r>
    </w:p>
    <w:p>
      <w:pPr>
        <w:pStyle w:val="[Normal]"/>
        <w:spacing w:line="360" w:lineRule="auto"/>
        <w:ind w:firstLine="1134"/>
        <w:jc w:val="both"/>
        <w:rPr>
          <w:lang w:val="es-AR" w:eastAsia="es-AR" w:bidi="es-AR"/>
        </w:rPr>
      </w:pPr>
      <w:r>
        <w:rPr>
          <w:lang w:val="es-AR" w:eastAsia="es-AR" w:bidi="es-AR"/>
        </w:rPr>
        <w:t xml:space="preserve">Subsidiariamente solicita que, si la Cámara rechazara el planteo sobre el límite de cobertura, ordene como medida para mejor proveer una nueva pericia mecánica destinada a determinar el valor actual del vehículo.</w:t>
      </w:r>
    </w:p>
    <w:p>
      <w:pPr>
        <w:pStyle w:val="[Normal]"/>
        <w:spacing w:line="360" w:lineRule="auto"/>
        <w:ind w:firstLine="1134"/>
        <w:jc w:val="both"/>
        <w:rPr>
          <w:lang w:val="es-AR" w:eastAsia="es-AR" w:bidi="es-AR"/>
        </w:rPr>
      </w:pPr>
      <w:r>
        <w:rPr>
          <w:u w:val="single"/>
          <w:lang w:val="es-AR" w:eastAsia="es-AR" w:bidi="es-AR"/>
        </w:rPr>
        <w:t xml:space="preserve">Segundo agravio</w:t>
      </w:r>
      <w:r>
        <w:rPr>
          <w:lang w:val="es-AR" w:eastAsia="es-AR" w:bidi="es-AR"/>
        </w:rPr>
        <w:t xml:space="preserve">. Incumplimiento de las cargas del asegurado.</w:t>
      </w:r>
    </w:p>
    <w:p>
      <w:pPr>
        <w:pStyle w:val="[Normal]"/>
        <w:spacing w:line="360" w:lineRule="auto"/>
        <w:ind w:firstLine="1134"/>
        <w:jc w:val="both"/>
        <w:rPr>
          <w:lang w:val="es-AR" w:eastAsia="es-AR" w:bidi="es-AR"/>
        </w:rPr>
      </w:pPr>
      <w:r>
        <w:rPr>
          <w:lang w:val="es-AR" w:eastAsia="es-AR" w:bidi="es-AR"/>
        </w:rPr>
        <w:t xml:space="preserve">La recurrente sostiene que la sentencia omitió analizar un aspecto esencial del contrato, y es que el asegurado nunca cumplió con la totalidad de la documentación exigida para tornar exigible el pago de la indemnización.</w:t>
      </w:r>
    </w:p>
    <w:p>
      <w:pPr>
        <w:pStyle w:val="[Normal]"/>
        <w:spacing w:line="360" w:lineRule="auto"/>
        <w:ind w:firstLine="1134"/>
        <w:jc w:val="both"/>
        <w:rPr>
          <w:lang w:val="es-AR" w:eastAsia="es-AR" w:bidi="es-AR"/>
        </w:rPr>
      </w:pPr>
      <w:r>
        <w:rPr>
          <w:lang w:val="es-AR" w:eastAsia="es-AR" w:bidi="es-AR"/>
        </w:rPr>
        <w:t xml:space="preserve">Destaca que la cláusula CG-CO 3.1 condiciona el pago a la previa entrega de la documentación allí prevista, especialmente baja registral por destrucción total; certificado de dominio; libre deuda; baja de patente; cesión de derechos; restantes formularios previstos en la póliza.</w:t>
      </w:r>
    </w:p>
    <w:p>
      <w:pPr>
        <w:pStyle w:val="[Normal]"/>
        <w:spacing w:line="360" w:lineRule="auto"/>
        <w:ind w:firstLine="1134"/>
        <w:jc w:val="both"/>
        <w:rPr>
          <w:lang w:val="es-AR" w:eastAsia="es-AR" w:bidi="es-AR"/>
        </w:rPr>
      </w:pPr>
      <w:r>
        <w:rPr>
          <w:lang w:val="es-AR" w:eastAsia="es-AR" w:bidi="es-AR"/>
        </w:rPr>
        <w:t xml:space="preserve">Afirma que, mientras esas cargas no sean cumplidas, la aseguradora no incurre en mora y, por ende, tampoco corresponden intereses ni actualización.</w:t>
      </w:r>
    </w:p>
    <w:p>
      <w:pPr>
        <w:pStyle w:val="[Normal]"/>
        <w:spacing w:line="360" w:lineRule="auto"/>
        <w:ind w:firstLine="1134"/>
        <w:jc w:val="both"/>
        <w:rPr>
          <w:lang w:val="es-AR" w:eastAsia="es-AR" w:bidi="es-AR"/>
        </w:rPr>
      </w:pPr>
      <w:r>
        <w:rPr>
          <w:lang w:val="es-AR" w:eastAsia="es-AR" w:bidi="es-AR"/>
        </w:rPr>
        <w:t xml:space="preserve">Invoca el artículo 1031 del Código Civil y Comercial, sosteniendo que en los contratos bilaterales cada parte puede suspender el cumplimiento de su obligación hasta que la contraparte cumpla la propia. Consigna doctrina aplicable.</w:t>
      </w:r>
    </w:p>
    <w:p>
      <w:pPr>
        <w:pStyle w:val="[Normal]"/>
        <w:spacing w:line="360" w:lineRule="auto"/>
        <w:ind w:firstLine="1134"/>
        <w:jc w:val="both"/>
        <w:rPr>
          <w:lang w:val="es-AR" w:eastAsia="es-AR" w:bidi="es-AR"/>
        </w:rPr>
      </w:pPr>
      <w:r>
        <w:rPr>
          <w:u w:val="single"/>
          <w:lang w:val="es-AR" w:eastAsia="es-AR" w:bidi="es-AR"/>
        </w:rPr>
        <w:t xml:space="preserve">Tercer agravio.</w:t>
      </w:r>
      <w:r>
        <w:rPr>
          <w:lang w:val="es-AR" w:eastAsia="es-AR" w:bidi="es-AR"/>
        </w:rPr>
        <w:t xml:space="preserve"> Improcedencia del rubro privación de uso.</w:t>
      </w:r>
    </w:p>
    <w:p>
      <w:pPr>
        <w:pStyle w:val="[Normal]"/>
        <w:spacing w:line="360" w:lineRule="auto"/>
        <w:ind w:firstLine="1134"/>
        <w:jc w:val="both"/>
        <w:rPr>
          <w:lang w:val="es-AR" w:eastAsia="es-AR" w:bidi="es-AR"/>
        </w:rPr>
      </w:pPr>
      <w:r>
        <w:rPr>
          <w:lang w:val="es-AR" w:eastAsia="es-AR" w:bidi="es-AR"/>
        </w:rPr>
        <w:t xml:space="preserve">La aseguradora cuestiona la indemnización reconocida por privación de uso.</w:t>
      </w:r>
    </w:p>
    <w:p>
      <w:pPr>
        <w:pStyle w:val="[Normal]"/>
        <w:spacing w:line="360" w:lineRule="auto"/>
        <w:ind w:firstLine="1134"/>
        <w:jc w:val="both"/>
        <w:rPr>
          <w:lang w:val="es-AR" w:eastAsia="es-AR" w:bidi="es-AR"/>
        </w:rPr>
      </w:pPr>
      <w:r>
        <w:rPr>
          <w:lang w:val="es-AR" w:eastAsia="es-AR" w:bidi="es-AR"/>
        </w:rPr>
        <w:t xml:space="preserve">Sostiene que dicho rubro fue expresamente excluido de la cobertura mediante las cláusulas CG-CO 6.2 y CG-CO 8.1 de la póliza, las cuales disponen que el asegurador sólo responde por el daño patrimonial cubierto, excluyendo el lucro cesante y los perjuicios derivados de la imposibilidad de utilizar el vehículo.</w:t>
      </w:r>
    </w:p>
    <w:p>
      <w:pPr>
        <w:pStyle w:val="[Normal]"/>
        <w:spacing w:line="360" w:lineRule="auto"/>
        <w:ind w:firstLine="1134"/>
        <w:jc w:val="both"/>
        <w:rPr>
          <w:lang w:val="es-AR" w:eastAsia="es-AR" w:bidi="es-AR"/>
        </w:rPr>
      </w:pPr>
      <w:r>
        <w:rPr>
          <w:lang w:val="es-AR" w:eastAsia="es-AR" w:bidi="es-AR"/>
        </w:rPr>
        <w:t xml:space="preserve">Añade que el actor tampoco produjo prueba concreta del perjuicio sufrido, limitándose a efectuar afirmaciones genéricas.</w:t>
      </w:r>
    </w:p>
    <w:p>
      <w:pPr>
        <w:pStyle w:val="[Normal]"/>
        <w:spacing w:line="360" w:lineRule="auto"/>
        <w:ind w:firstLine="1134"/>
        <w:jc w:val="both"/>
        <w:rPr>
          <w:lang w:val="es-AR" w:eastAsia="es-AR" w:bidi="es-AR"/>
        </w:rPr>
      </w:pPr>
      <w:r>
        <w:rPr>
          <w:lang w:val="es-AR" w:eastAsia="es-AR" w:bidi="es-AR"/>
        </w:rPr>
        <w:t xml:space="preserve">Invoca el artículo 61 de la Ley de Seguros y jurisprudencia que exige acreditar específicamente el daño derivado de la privación de uso.</w:t>
      </w:r>
    </w:p>
    <w:p>
      <w:pPr>
        <w:pStyle w:val="[Normal]"/>
        <w:spacing w:line="360" w:lineRule="auto"/>
        <w:ind w:firstLine="1134"/>
        <w:jc w:val="both"/>
        <w:rPr>
          <w:lang w:val="es-AR" w:eastAsia="es-AR" w:bidi="es-AR"/>
        </w:rPr>
      </w:pPr>
      <w:r>
        <w:rPr>
          <w:lang w:val="es-AR" w:eastAsia="es-AR" w:bidi="es-AR"/>
        </w:rPr>
        <w:t xml:space="preserve">Peticiona se revoque la sentencia apelada en lo que es materia de agravios. Con costas.-</w:t>
      </w:r>
    </w:p>
    <w:p>
      <w:pPr>
        <w:pStyle w:val="[Normal]"/>
        <w:spacing w:line="360" w:lineRule="auto"/>
        <w:ind w:firstLine="1134"/>
        <w:jc w:val="both"/>
        <w:rPr>
          <w:lang w:val="es-AR" w:eastAsia="es-AR" w:bidi="es-AR"/>
        </w:rPr>
      </w:pPr>
      <w:r>
        <w:rPr>
          <w:lang w:val="es-AR" w:eastAsia="es-AR" w:bidi="es-AR"/>
        </w:rPr>
        <w:t xml:space="preserve">l).- Entrando a resolver, corresponde señalar que no se encuentra controvertido en esta instancia que el actor sufrió la sustracción del vehículo de su propiedad marca Ford modelo Fiesta dominio BAN 238, el que posteriormente fue hallado incendiado, circunstancia que determinó su destrucción total. Tampoco se encuentra discutida la existencia del contrato de seguro celebrado con la demandada ni que el siniestro fue denunciado y reconocido en cuanto a su ocurrencia y cobertura, habiendo sido constatada la destrucción total del rodado.-</w:t>
      </w:r>
    </w:p>
    <w:p>
      <w:pPr>
        <w:pStyle w:val="[Normal]"/>
        <w:spacing w:line="360" w:lineRule="auto"/>
        <w:ind w:firstLine="1134"/>
        <w:jc w:val="both"/>
        <w:rPr>
          <w:lang w:val="es-AR" w:eastAsia="es-AR" w:bidi="es-AR"/>
        </w:rPr>
      </w:pPr>
      <w:r>
        <w:rPr>
          <w:lang w:val="es-AR" w:eastAsia="es-AR" w:bidi="es-AR"/>
        </w:rPr>
        <w:t xml:space="preserve">La controversia se asienta sobre la procedencia, extensión y cuantificación de las consecuencias patrimoniales derivadas del incumplimiento que el actor atribuye a la aseguradora, así como sobre las defensas opuestas por esta última relativas al límite de cobertura y al supuesto incumplimiento de las cargas contractuales a cargo del asegurado.-</w:t>
      </w:r>
    </w:p>
    <w:p>
      <w:pPr>
        <w:pStyle w:val="[Normal]"/>
        <w:spacing w:line="360" w:lineRule="auto"/>
        <w:ind w:firstLine="1134"/>
        <w:jc w:val="both"/>
        <w:rPr>
          <w:lang w:val="es-AR" w:eastAsia="es-AR" w:bidi="es-AR"/>
        </w:rPr>
      </w:pPr>
      <w:r>
        <w:rPr>
          <w:lang w:val="es-AR" w:eastAsia="es-AR" w:bidi="es-AR"/>
        </w:rPr>
        <w:t xml:space="preserve">Corresponde me aboque a abordar los recursos deducidos por ambas partes, comenzando por aquellos planteos que cuestionan la exigibilidad y extensión de la prestación, para luego analizar los demás agravios de las partes.-</w:t>
      </w:r>
    </w:p>
    <w:p>
      <w:pPr>
        <w:pStyle w:val="[Normal]"/>
        <w:spacing w:line="360" w:lineRule="auto"/>
        <w:ind w:firstLine="1134"/>
        <w:jc w:val="both"/>
        <w:rPr>
          <w:lang w:val="es-AR" w:eastAsia="es-AR" w:bidi="es-AR"/>
        </w:rPr>
      </w:pPr>
      <w:r>
        <w:rPr>
          <w:lang w:val="es-AR" w:eastAsia="es-AR" w:bidi="es-AR"/>
        </w:rPr>
        <w:t xml:space="preserve">ll).- Daño Patrimonial - Revisión del quantum indemnizatorio - Límite de cobertura:</w:t>
      </w:r>
    </w:p>
    <w:p>
      <w:pPr>
        <w:pStyle w:val="[Normal]"/>
        <w:spacing w:line="360" w:lineRule="auto"/>
        <w:ind w:firstLine="1134"/>
        <w:jc w:val="both"/>
        <w:rPr>
          <w:lang w:val="es-AR" w:eastAsia="es-AR" w:bidi="es-AR"/>
        </w:rPr>
      </w:pPr>
      <w:r>
        <w:rPr>
          <w:lang w:val="es-AR" w:eastAsia="es-AR" w:bidi="es-AR"/>
        </w:rPr>
        <w:t xml:space="preserve">Corresponde tratar conjuntamente los agravios deducidos por la parte actora y por la citada en garantía respecto del monto reconocido en concepto de daño material ($5.950.000), en tanto, si bien parten de premisas opuestas, ambos cuestionan el mismo defecto de la sentencia de grado: la determinación de una suma nominal fija, obtenida mediante la ponderación de "la actualización, el proceso inflacionario y la situación económica que atravesó el país" sobre la base de la pericia mecánica, que fijó el valor del rodado en $500.000 a la fecha de su producción.</w:t>
      </w:r>
    </w:p>
    <w:p>
      <w:pPr>
        <w:pStyle w:val="[Normal]"/>
        <w:spacing w:line="360" w:lineRule="auto"/>
        <w:ind w:firstLine="1134"/>
        <w:jc w:val="both"/>
        <w:rPr>
          <w:lang w:val="es-AR" w:eastAsia="es-AR" w:bidi="es-AR"/>
        </w:rPr>
      </w:pPr>
      <w:r>
        <w:rPr>
          <w:lang w:val="es-AR" w:eastAsia="es-AR" w:bidi="es-AR"/>
        </w:rPr>
        <w:t xml:space="preserve">Le asiste razón a la citada en garantía en cuanto señala que dicha operación constituye, en los hechos, una indexación de una deuda de dinero. En efecto, los arts. 7 y 10 de la Ley 23.928 vedan expresamente la actualización monetaria, repotenciación de deudas o cualquier otra forma de repotenciación de deudas, indexación por precios, variación de costos o cualquier otro mecanismo de actualización monetaria, prohibición receptada asimismo en el principio nominalista consagrado por los arts. 765 y 766 del Código Civil y Comercial de la Nación.-</w:t>
      </w:r>
    </w:p>
    <w:p>
      <w:pPr>
        <w:pStyle w:val="[Normal]"/>
        <w:spacing w:line="360" w:lineRule="auto"/>
        <w:ind w:firstLine="1134"/>
        <w:jc w:val="both"/>
        <w:rPr>
          <w:lang w:val="es-AR" w:eastAsia="es-AR" w:bidi="es-AR"/>
        </w:rPr>
      </w:pPr>
      <w:r>
        <w:rPr>
          <w:lang w:val="es-AR" w:eastAsia="es-AR" w:bidi="es-AR"/>
        </w:rPr>
        <w:t xml:space="preserve">Para apartarse válidamente de dicha regla, resulta imprescindible que el sentenciante declare, con fundamentación específica y referida a las circunstancias del caso concreto, la inconstitucionalidad o inaplicabilidad de tales normas, extremo que no fue cumplido en la sentencia en crisis, la cual se limitó a "actualizar" el valor pericial sin sustento normativo expreso que habilitara apartarse del nominalismo legalmente establecido. Tal orfandad de fundamentación constituye un déficit que impone su revisión.-</w:t>
      </w:r>
    </w:p>
    <w:p>
      <w:pPr>
        <w:pStyle w:val="[Normal]"/>
        <w:spacing w:line="360" w:lineRule="auto"/>
        <w:ind w:firstLine="1134"/>
        <w:jc w:val="both"/>
        <w:rPr>
          <w:lang w:val="es-AR" w:eastAsia="es-AR" w:bidi="es-AR"/>
        </w:rPr>
      </w:pPr>
      <w:r>
        <w:rPr>
          <w:lang w:val="es-AR" w:eastAsia="es-AR" w:bidi="es-AR"/>
        </w:rPr>
        <w:t xml:space="preserve">Sin embargo, ello no conduce a acoger sin más la pretensión de la citada en garantía de ceñir la indemnización al valor venal determinado por la pericia a su fecha de producción, con el único tope de la suma asegurada. Por el contrario, le asiste razón a la parte actora en cuanto a que la deuda resarcitoria por destrucción total del vehículo no constituye una deuda de dinero sino una obligación de valor (arts. 772 y 1740 del C.C.C.N.), cuyo objeto es la reparación plena e integral del perjuicio sufrido, y que solo se convierte en una suma dineraria en el momento de su liquidación, conforme parámetros económicos actualizados a esa fecha.-</w:t>
      </w:r>
    </w:p>
    <w:p>
      <w:pPr>
        <w:pStyle w:val="[Normal]"/>
        <w:spacing w:line="360" w:lineRule="auto"/>
        <w:ind w:firstLine="1134"/>
        <w:jc w:val="both"/>
        <w:rPr>
          <w:lang w:val="es-AR" w:eastAsia="es-AR" w:bidi="es-AR"/>
        </w:rPr>
      </w:pPr>
      <w:r>
        <w:rPr>
          <w:lang w:val="es-AR" w:eastAsia="es-AR" w:bidi="es-AR"/>
        </w:rPr>
        <w:t xml:space="preserve"> Así lo ha sostenido esta Cámara en autos "Catulo, Omar Ángel c/ Prado, Leandro Alexis s/ Daños y Perj. Autom. c/Les. o Muerte (Exc. Estado)" (Expte. nº 5297-24), al señalar que los jueces se encuentran habilitados a diferir la cuantificación del resarcimiento (y su correlativa conversión a una suma dineraria) para la etapa ejecutoria posterior a la sentencia, sin que ello importe indexación alguna, en tanto se trata de la valuación de un objeto no dinerario (el bien destruido) y no de la repotenciación de una suma de dinero ya cuantificada.-</w:t>
      </w:r>
    </w:p>
    <w:p>
      <w:pPr>
        <w:pStyle w:val="[Normal]"/>
        <w:spacing w:line="360" w:lineRule="auto"/>
        <w:ind w:firstLine="1134"/>
        <w:jc w:val="both"/>
        <w:rPr>
          <w:lang w:val="es-AR" w:eastAsia="es-AR" w:bidi="es-AR"/>
        </w:rPr>
      </w:pPr>
      <w:r>
        <w:rPr>
          <w:lang w:val="es-AR" w:eastAsia="es-AR" w:bidi="es-AR"/>
        </w:rPr>
        <w:t xml:space="preserve">En consecuencia, corresponde revocar el pronunciamiento de grado en cuanto fijó el monto indemnizatorio por daño material en la suma de $5.950.000 mediante la actualización pura y simple del valor pericial.-</w:t>
      </w:r>
    </w:p>
    <w:p>
      <w:pPr>
        <w:pStyle w:val="[Normal]"/>
        <w:spacing w:line="360" w:lineRule="auto"/>
        <w:ind w:firstLine="1134"/>
        <w:jc w:val="both"/>
        <w:rPr>
          <w:lang w:val="es-AR" w:eastAsia="es-AR" w:bidi="es-AR"/>
        </w:rPr>
      </w:pPr>
      <w:r>
        <w:rPr>
          <w:lang w:val="es-AR" w:eastAsia="es-AR" w:bidi="es-AR"/>
        </w:rPr>
        <w:t xml:space="preserve">En su lugar se difiere la determinación del monto indemnizatorio correspondiente al rubro daño material a la etapa de liquidación de sentencia, en la cual el perito mecánico ya interviniente en autos deberá expedirse sobre el valor de venta al público, al contado y en plaza, de un vehículo de igual marca, modelo, año y características que el del actor, considerado al momento más próximo posible a la efectiva percepción del crédito por parte del acreedor.-</w:t>
      </w:r>
    </w:p>
    <w:p>
      <w:pPr>
        <w:pStyle w:val="[Normal]"/>
        <w:spacing w:line="360" w:lineRule="auto"/>
        <w:ind w:firstLine="1134"/>
        <w:jc w:val="both"/>
        <w:rPr>
          <w:lang w:val="es-AR" w:eastAsia="es-AR" w:bidi="es-AR"/>
        </w:rPr>
      </w:pPr>
      <w:r>
        <w:rPr>
          <w:lang w:val="es-AR" w:eastAsia="es-AR" w:bidi="es-AR"/>
        </w:rPr>
        <w:t xml:space="preserve">Esta solución debe adoptarse, además, sin perjuicio de lo ya resuelto por esta Alzada (causa 5787-25 caratulada "</w:t>
      </w:r>
      <w:r>
        <w:rPr>
          <w:color w:val="000000"/>
          <w:lang w:val="es-AR" w:eastAsia="es-AR" w:bidi="es-AR"/>
        </w:rPr>
        <w:t xml:space="preserve">Tirimaco María Agustina C/ Ballianti María Virginia Y Otros S/ Daños Y Perj.Autom. C/ Les. O Muerte (EXC.ESTADO)</w:t>
      </w:r>
      <w:r>
        <w:rPr>
          <w:lang w:val="es-AR" w:eastAsia="es-AR" w:bidi="es-AR"/>
        </w:rPr>
        <w:t xml:space="preserve">" del 18/12/2025 RS-190-2025)</w:t>
      </w:r>
      <w:r>
        <w:rPr>
          <w:b/>
          <w:lang w:val="es-AR" w:eastAsia="es-AR" w:bidi="es-AR"/>
        </w:rPr>
        <w:t xml:space="preserve"> </w:t>
      </w:r>
      <w:r>
        <w:rPr>
          <w:lang w:val="es-AR" w:eastAsia="es-AR" w:bidi="es-AR"/>
        </w:rPr>
        <w:t xml:space="preserve">respecto de la inoponibilidad del límite de cobertura contractual, cuestión introducida expresamente por la aseguradora.-</w:t>
      </w:r>
    </w:p>
    <w:p>
      <w:pPr>
        <w:pStyle w:val="[Normal]"/>
        <w:spacing w:line="360" w:lineRule="auto"/>
        <w:ind w:firstLine="1134"/>
        <w:jc w:val="both"/>
        <w:rPr>
          <w:lang w:val="es-AR" w:eastAsia="es-AR" w:bidi="es-AR"/>
        </w:rPr>
      </w:pPr>
      <w:r>
        <w:rPr>
          <w:lang w:val="es-AR" w:eastAsia="es-AR" w:bidi="es-AR"/>
        </w:rPr>
        <w:t xml:space="preserve"> En este sentido, corresponde atender a la doctrina legal de la Suprema Corte de Justicia de la Provincia de Buenos Aires sentada en la causa </w:t>
      </w:r>
      <w:r>
        <w:rPr>
          <w:i/>
          <w:lang w:val="es-AR" w:eastAsia="es-AR" w:bidi="es-AR"/>
        </w:rPr>
        <w:t xml:space="preserve">“Martínez, Emir c/ Boito” </w:t>
      </w:r>
      <w:r>
        <w:rPr>
          <w:lang w:val="es-AR" w:eastAsia="es-AR" w:bidi="es-AR"/>
        </w:rPr>
        <w:t xml:space="preserve">conforme al cual las cláusulas de delimitación cuantitativa del riesgo no resultan abusivas per se, pero su aplicación literal en valor histórico puede tornarse irrazonable cuando, por el transcurso del tiempo y el consiguiente desfasaje entre dicho valor y la valuación actual del daño, se desnaturaliza el interés asegurado, se vacía de contenido la garantía y se configura un supuesto de infraseguro en perjuicio del damnificado. </w:t>
      </w:r>
    </w:p>
    <w:p>
      <w:pPr>
        <w:pStyle w:val="[Normal]"/>
        <w:spacing w:line="360" w:lineRule="auto"/>
        <w:ind w:firstLine="1134"/>
        <w:jc w:val="both"/>
        <w:rPr>
          <w:lang w:val="es-AR" w:eastAsia="es-AR" w:bidi="es-AR"/>
        </w:rPr>
      </w:pPr>
      <w:r>
        <w:rPr>
          <w:lang w:val="es-AR" w:eastAsia="es-AR" w:bidi="es-AR"/>
        </w:rPr>
        <w:t xml:space="preserve">Cabe señalar que en dicho precedente la Corte circunscribió la actualización al rubro correspondiente a la cobertura básica obligatoria por muerte o incapacidad. No obstante, el principio subyacente al estándar fijado, el cual radica en que la ecuación económica del contrato de seguro no puede desnaturalizarse al punto de tornar irrisoria la garantía frente al daño real y actual, con el consiguiente enriquecimiento indebido de la aseguradora y en desmedro del principio de reparación integral y del equilibrio prestacional propio de los contratos por adhesión. Ello resulta trasladable por identidad de razón al supuesto de autos en el que el bien dañado (el automóvil) aún no ha sido valuado en la sentencia definitiva.-</w:t>
      </w:r>
    </w:p>
    <w:p>
      <w:pPr>
        <w:pStyle w:val="[Normal]"/>
        <w:spacing w:line="360" w:lineRule="auto"/>
        <w:ind w:firstLine="1134"/>
        <w:jc w:val="both"/>
        <w:rPr>
          <w:lang w:val="es-AR" w:eastAsia="es-AR" w:bidi="es-AR"/>
        </w:rPr>
      </w:pPr>
      <w:r>
        <w:rPr>
          <w:lang w:val="es-AR" w:eastAsia="es-AR" w:bidi="es-AR"/>
        </w:rPr>
        <w:t xml:space="preserve">En consecuencia, por aplicación analógica de dicho principio, corresponde que la condena a la citada en garantía comprenda -como piso- la cobertura vigente al momento en que quede establecido el valor del rodado mediante la pericia correspondiente, sin perjuicio del límite contratado, de ser superior, como techo de la garantía.-</w:t>
      </w:r>
    </w:p>
    <w:p>
      <w:pPr>
        <w:pStyle w:val="[Normal]"/>
        <w:spacing w:line="360" w:lineRule="auto"/>
        <w:ind w:firstLine="1134"/>
        <w:jc w:val="both"/>
        <w:rPr>
          <w:lang w:val="es-AR" w:eastAsia="es-AR" w:bidi="es-AR"/>
        </w:rPr>
      </w:pPr>
      <w:r>
        <w:rPr>
          <w:lang w:val="es-AR" w:eastAsia="es-AR" w:bidi="es-AR"/>
        </w:rPr>
        <w:t xml:space="preserve">llI.- Incumplimiento de las cargas del asegurado.</w:t>
      </w:r>
    </w:p>
    <w:p>
      <w:pPr>
        <w:pStyle w:val="[Normal]"/>
        <w:spacing w:line="360" w:lineRule="auto"/>
        <w:ind w:firstLine="1134"/>
        <w:jc w:val="both"/>
        <w:rPr>
          <w:lang w:val="es-AR" w:eastAsia="es-AR" w:bidi="es-AR"/>
        </w:rPr>
      </w:pPr>
      <w:r>
        <w:rPr>
          <w:lang w:val="es-AR" w:eastAsia="es-AR" w:bidi="es-AR"/>
        </w:rPr>
        <w:t xml:space="preserve">La demandada sostiene que la exigibilidad de la prestación se encontraba condicionada al cumplimiento de determinadas cargas contractuales por parte del asegurado, entre ellas, la presentación de documentación vinculada con la baja registral del automotor, baja de patente, libre deuda, cesión de derechos y demás constancias previstas en la cláusula CG-CO 3.1.-</w:t>
      </w:r>
    </w:p>
    <w:p>
      <w:pPr>
        <w:pStyle w:val="[Normal]"/>
        <w:spacing w:line="360" w:lineRule="auto"/>
        <w:ind w:firstLine="1134"/>
        <w:jc w:val="both"/>
        <w:rPr>
          <w:lang w:val="es-AR" w:eastAsia="es-AR" w:bidi="es-AR"/>
        </w:rPr>
      </w:pPr>
      <w:r>
        <w:rPr>
          <w:lang w:val="es-AR" w:eastAsia="es-AR" w:bidi="es-AR"/>
        </w:rPr>
        <w:t xml:space="preserve">Si bien la aseguradora acreditó haber remitido dos cartas documento al domicilio denunciado por el actor en la póliza ambas fueron devueltas por la empresa de correo debido a la inexistencia de la numeración consignada, circunstancia que no puede tenerse por suficiente para considerar agotado el deber de comunicación que pesaba sobre aquélla.-</w:t>
      </w:r>
    </w:p>
    <w:p>
      <w:pPr>
        <w:pStyle w:val="[Normal]"/>
        <w:spacing w:line="360" w:lineRule="auto"/>
        <w:ind w:firstLine="1134"/>
        <w:jc w:val="both"/>
        <w:rPr>
          <w:lang w:val="es-AR" w:eastAsia="es-AR" w:bidi="es-AR"/>
        </w:rPr>
      </w:pPr>
      <w:r>
        <w:rPr>
          <w:lang w:val="es-AR" w:eastAsia="es-AR" w:bidi="es-AR"/>
        </w:rPr>
        <w:t xml:space="preserve">En efecto (frente a la frustración de esa vía) la aseguradora debía extremar las medidas tendientes a poner en conocimiento del asegurado las circunstancias que -según su postura- condicionaban la liquidación y pago de la indemnización, recurriendo a los distintos medios de contacto de los que razonablemente dispusiera, tales como correo electrónico, teléfono u otros datos obrantes en sus registros. Tal exigencia encuentra un doble fundamento: por un lado, el deber de información previsto en el art. 4 de la Ley 24.240, que impone al proveedor suministrar al consumidor, en forma cierta, clara y detallada, toda la información relacionada con las condiciones de la prestación; por otro, el principio general de buena fe (arts. 9 y 729, CCyC) que en el ámbito contractual se traduce en un estándar de lealtad recíproca y colaboración activa entre las partes (arts. 961, 991 y 1061, CCyC) y del cual derivan los llamados deberes secundarios de conducta -entre ellos, el deber de información y el deber de cooperación-, que sin integrar el objeto específico de la prestación asegurativa, resultan indispensables para su correcta ejecución.-</w:t>
      </w:r>
    </w:p>
    <w:p>
      <w:pPr>
        <w:pStyle w:val="[Normal]"/>
        <w:spacing w:line="360" w:lineRule="auto"/>
        <w:ind w:firstLine="1134"/>
        <w:jc w:val="both"/>
        <w:rPr>
          <w:lang w:val="es-AR" w:eastAsia="es-AR" w:bidi="es-AR"/>
        </w:rPr>
      </w:pPr>
      <w:r>
        <w:rPr>
          <w:lang w:val="es-AR" w:eastAsia="es-AR" w:bidi="es-AR"/>
        </w:rPr>
        <w:t xml:space="preserve">Ambos fundamentos convergen en la misma conclusión: quien se encuentra en mejores condiciones de conocer y comunicar una circunstancia relevante para el cumplimiento del contrato -como ocurre aquí con la aseguradora respecto de la documentación que reputaba pendiente- tiene a su cargo hacerlo por los medios razonablemente a su alcance, y no puede tener por satisfecha esa carga con el solo envío de comunicaciones a un domicilio cuya inexactitud le era conocida.-</w:t>
      </w:r>
    </w:p>
    <w:p>
      <w:pPr>
        <w:pStyle w:val="[Normal]"/>
        <w:spacing w:line="360" w:lineRule="auto"/>
        <w:ind w:firstLine="1134"/>
        <w:jc w:val="both"/>
        <w:rPr>
          <w:lang w:val="es-AR" w:eastAsia="es-AR" w:bidi="es-AR"/>
        </w:rPr>
      </w:pPr>
      <w:r>
        <w:rPr>
          <w:lang w:val="es-AR" w:eastAsia="es-AR" w:bidi="es-AR"/>
        </w:rPr>
        <w:t xml:space="preserve">No se ha demostrado que la falta de presentación de la documentación invocada haya constituido un impedimento concreto y efectivo para la liquidación y pago de la indemnización. Tanto el incumplimiento del deber de información del art. 4 de la Ley 24.240 como la inobservancia de los deberes secundarios de conducta derivados de la buena fe (arts. 9, 729, 961, 991 y 1061, CCyC) obstan a que la citada en garantía invoque válidamente las cargas contractuales para eximirse de su obligación principal, sin que ello resulte suficiente para sustentar la inexigibilidad de la prestación ni para excluir su mora.-</w:t>
      </w:r>
    </w:p>
    <w:p>
      <w:pPr>
        <w:pStyle w:val="[Normal]"/>
        <w:spacing w:line="360" w:lineRule="auto"/>
        <w:ind w:firstLine="1134"/>
        <w:jc w:val="both"/>
        <w:rPr>
          <w:lang w:val="es-AR" w:eastAsia="es-AR" w:bidi="es-AR"/>
        </w:rPr>
      </w:pPr>
      <w:r>
        <w:rPr>
          <w:lang w:val="es-AR" w:eastAsia="es-AR" w:bidi="es-AR"/>
        </w:rPr>
        <w:t xml:space="preserve">Por lo expuesto, corresponde rechazar el agravio relativo al pretendido incumplimiento de las cargas del asegurado.-</w:t>
      </w:r>
    </w:p>
    <w:p>
      <w:pPr>
        <w:pStyle w:val="[Normal]"/>
        <w:spacing w:line="360" w:lineRule="auto"/>
        <w:ind w:firstLine="1134"/>
        <w:jc w:val="both"/>
        <w:rPr>
          <w:lang w:val="es-AR" w:eastAsia="es-AR" w:bidi="es-AR"/>
        </w:rPr>
      </w:pPr>
      <w:r>
        <w:rPr>
          <w:lang w:val="es-AR" w:eastAsia="es-AR" w:bidi="es-AR"/>
        </w:rPr>
        <w:t xml:space="preserve">lV.-Privación de uso. Agravios citada en garantía.-</w:t>
      </w:r>
    </w:p>
    <w:p>
      <w:pPr>
        <w:pStyle w:val="[Normal]"/>
        <w:spacing w:line="360" w:lineRule="auto"/>
        <w:ind w:firstLine="1134"/>
        <w:jc w:val="both"/>
        <w:rPr>
          <w:lang w:val="es-AR" w:eastAsia="es-AR" w:bidi="es-AR"/>
        </w:rPr>
      </w:pPr>
      <w:r>
        <w:rPr>
          <w:lang w:val="es-AR" w:eastAsia="es-AR" w:bidi="es-AR"/>
        </w:rPr>
        <w:t xml:space="preserve">La demandada cuestiona también la procedencia del rubro privación de uso, sosteniendo que la propia póliza excluye expresamente de cobertura los perjuicios derivados de la privación de uso del vehículo, aun cuando sean consecuencia de un acontecimiento cubierto. Invoca las cláusulas CG-CO 6.2 y CG-CO 8.1, así como el art. 61 de la ley 17.418.</w:t>
      </w:r>
    </w:p>
    <w:p>
      <w:pPr>
        <w:pStyle w:val="[Normal]"/>
        <w:spacing w:line="360" w:lineRule="auto"/>
        <w:ind w:firstLine="1134"/>
        <w:jc w:val="both"/>
        <w:rPr>
          <w:lang w:val="es-AR" w:eastAsia="es-AR" w:bidi="es-AR"/>
        </w:rPr>
      </w:pPr>
      <w:r>
        <w:rPr>
          <w:lang w:val="es-AR" w:eastAsia="es-AR" w:bidi="es-AR"/>
        </w:rPr>
        <w:t xml:space="preserve">Es cierto que la cobertura asegurativa se encuentra delimitada por las condiciones del contrato y que la cláusula invocada por la recurrente contempla la exclusión de los perjuicios derivados de la privación de uso.-</w:t>
      </w:r>
    </w:p>
    <w:p>
      <w:pPr>
        <w:pStyle w:val="[Normal]"/>
        <w:spacing w:line="360" w:lineRule="auto"/>
        <w:ind w:firstLine="1134"/>
        <w:jc w:val="both"/>
        <w:rPr>
          <w:lang w:val="es-AR" w:eastAsia="es-AR" w:bidi="es-AR"/>
        </w:rPr>
      </w:pPr>
      <w:r>
        <w:rPr>
          <w:lang w:val="es-AR" w:eastAsia="es-AR" w:bidi="es-AR"/>
        </w:rPr>
        <w:t xml:space="preserve">Sin embargo, el rubro reconocido en autos no constituye, en los términos en que fue decidido, una ampliación de la cobertura asegurativa del riesgo "destrucción total" mediante la incorporación de un riesgo no contratado, sino una consecuencia resarcitoria derivada del incumplimiento de la aseguradora de la obligación contractual asumida.-</w:t>
      </w:r>
    </w:p>
    <w:p>
      <w:pPr>
        <w:pStyle w:val="[Normal]"/>
        <w:spacing w:line="360" w:lineRule="auto"/>
        <w:ind w:firstLine="1134"/>
        <w:jc w:val="both"/>
        <w:rPr>
          <w:lang w:val="es-AR" w:eastAsia="es-AR" w:bidi="es-AR"/>
        </w:rPr>
      </w:pPr>
      <w:r>
        <w:rPr>
          <w:lang w:val="es-AR" w:eastAsia="es-AR" w:bidi="es-AR"/>
        </w:rPr>
        <w:t xml:space="preserve">Una cosa es determinar cuáles son los daños directamente comprendidos en el riesgo asegurado y otra diferente establecer las consecuencias que genera el incumplimiento de la obligación contractual de indemnizar una vez configurado el siniestro cubierto.-</w:t>
      </w:r>
    </w:p>
    <w:p>
      <w:pPr>
        <w:pStyle w:val="[Normal]"/>
        <w:spacing w:line="360" w:lineRule="auto"/>
        <w:ind w:firstLine="1134"/>
        <w:jc w:val="both"/>
        <w:rPr>
          <w:lang w:val="es-AR" w:eastAsia="es-AR" w:bidi="es-AR"/>
        </w:rPr>
      </w:pPr>
      <w:r>
        <w:rPr>
          <w:lang w:val="es-AR" w:eastAsia="es-AR" w:bidi="es-AR"/>
        </w:rPr>
        <w:t xml:space="preserve">La exclusión contractual invocada puede operar respecto de los perjuicios que la privación de uso genere como consecuencia directa del siniestro asegurado, pero no basta para eximir a la aseguradora de las consecuencias dañosas que razonablemente se deriven de su propio incumplimiento contractual en tanto, se encuentren acreditadas y guarden relación causal adecuada con éste.</w:t>
      </w:r>
    </w:p>
    <w:p>
      <w:pPr>
        <w:pStyle w:val="[Normal]"/>
        <w:spacing w:line="360" w:lineRule="auto"/>
        <w:ind w:firstLine="1134"/>
        <w:jc w:val="both"/>
        <w:rPr>
          <w:lang w:val="es-AR" w:eastAsia="es-AR" w:bidi="es-AR"/>
        </w:rPr>
      </w:pPr>
      <w:r>
        <w:rPr>
          <w:lang w:val="es-AR" w:eastAsia="es-AR" w:bidi="es-AR"/>
        </w:rPr>
        <w:t xml:space="preserve">En el caso, la sentencia tuvo por configurado el incumplimiento de la aseguradora y sobre esa base reconoció el perjuicio derivado de la indisponibilidad del vehículo durante un período prudencial.-</w:t>
      </w:r>
    </w:p>
    <w:p>
      <w:pPr>
        <w:pStyle w:val="[Normal]"/>
        <w:spacing w:line="360" w:lineRule="auto"/>
        <w:ind w:firstLine="1134"/>
        <w:jc w:val="both"/>
        <w:rPr>
          <w:lang w:val="es-AR" w:eastAsia="es-AR" w:bidi="es-AR"/>
        </w:rPr>
      </w:pPr>
      <w:r>
        <w:rPr>
          <w:lang w:val="es-AR" w:eastAsia="es-AR" w:bidi="es-AR"/>
        </w:rPr>
        <w:t xml:space="preserve">Por otro lado, la recurrente cuestiona la existencia misma del daño alegando que se habría concedido con fundamento en afirmaciones dogmáticas y sin prueba suficiente.</w:t>
      </w:r>
    </w:p>
    <w:p>
      <w:pPr>
        <w:pStyle w:val="[Normal]"/>
        <w:spacing w:line="360" w:lineRule="auto"/>
        <w:ind w:firstLine="1134"/>
        <w:jc w:val="both"/>
        <w:rPr>
          <w:lang w:val="es-AR" w:eastAsia="es-AR" w:bidi="es-AR"/>
        </w:rPr>
      </w:pPr>
      <w:r>
        <w:rPr>
          <w:lang w:val="es-AR" w:eastAsia="es-AR" w:bidi="es-AR"/>
        </w:rPr>
        <w:t xml:space="preserve">La privación de uso de un automotor configura (en principio) un perjuicio indemnizable cuando se acredita la imposibilidad de disponer del bien y las circunstancias del caso permiten presumir razonablemente su utilización. El juez de grado explicó que el vehículo satisfacía necesidades de movilidad, actividades laborales, comunicación y esparcimiento, y estimó prudencialmente el perjuicio con fundamento en el art. 165 del CPCC.</w:t>
      </w:r>
    </w:p>
    <w:p>
      <w:pPr>
        <w:pStyle w:val="[Normal]"/>
        <w:spacing w:line="360" w:lineRule="auto"/>
        <w:ind w:firstLine="1134"/>
        <w:jc w:val="both"/>
        <w:rPr>
          <w:lang w:val="es-AR" w:eastAsia="es-AR" w:bidi="es-AR"/>
        </w:rPr>
      </w:pPr>
      <w:r>
        <w:rPr>
          <w:lang w:val="es-AR" w:eastAsia="es-AR" w:bidi="es-AR"/>
        </w:rPr>
        <w:t xml:space="preserve">La recurrente no demuestra que el actor no utilizara el rodado ni que la indisponibilidad no le hubiera ocasionado perjuicio alguno.</w:t>
      </w:r>
    </w:p>
    <w:p>
      <w:pPr>
        <w:pStyle w:val="[Normal]"/>
        <w:spacing w:line="360" w:lineRule="auto"/>
        <w:ind w:firstLine="1134"/>
        <w:jc w:val="both"/>
        <w:rPr>
          <w:lang w:val="es-AR" w:eastAsia="es-AR" w:bidi="es-AR"/>
        </w:rPr>
      </w:pPr>
      <w:r>
        <w:rPr>
          <w:lang w:val="es-AR" w:eastAsia="es-AR" w:bidi="es-AR"/>
        </w:rPr>
        <w:t xml:space="preserve">Por ello, corresponde confirmar la procedencia del rubro, sin perjuicio del tratamiento que merecen los cuestionamientos de la parte actora respecto de su cuantificación.-</w:t>
      </w:r>
    </w:p>
    <w:p>
      <w:pPr>
        <w:pStyle w:val="[Normal]"/>
        <w:spacing w:line="360" w:lineRule="auto"/>
        <w:ind w:firstLine="1134"/>
        <w:jc w:val="both"/>
        <w:rPr>
          <w:lang w:val="es-AR" w:eastAsia="es-AR" w:bidi="es-AR"/>
        </w:rPr>
      </w:pPr>
      <w:r>
        <w:rPr>
          <w:lang w:val="es-AR" w:eastAsia="es-AR" w:bidi="es-AR"/>
        </w:rPr>
        <w:t xml:space="preserve">V.- Privación de uso. Agravios de la actora. Cuantificación.-</w:t>
      </w:r>
    </w:p>
    <w:p>
      <w:pPr>
        <w:pStyle w:val="[Normal]"/>
        <w:spacing w:line="360" w:lineRule="auto"/>
        <w:ind w:firstLine="1134"/>
        <w:jc w:val="both"/>
        <w:rPr>
          <w:lang w:val="es-AR" w:eastAsia="es-AR" w:bidi="es-AR"/>
        </w:rPr>
      </w:pPr>
      <w:r>
        <w:rPr>
          <w:lang w:val="es-AR" w:eastAsia="es-AR" w:bidi="es-AR"/>
        </w:rPr>
        <w:t xml:space="preserve">La parte actora por su parte, cuestiona que el período indemnizable haya sido limitado a treinta días sosteniendo que la privación debió extenderse hasta la percepción de la indemnización asegurativa, pues ésta resultaba necesaria para sustituir el vehículo.</w:t>
      </w:r>
    </w:p>
    <w:p>
      <w:pPr>
        <w:pStyle w:val="[Normal]"/>
        <w:spacing w:line="360" w:lineRule="auto"/>
        <w:ind w:firstLine="1134"/>
        <w:jc w:val="both"/>
        <w:rPr>
          <w:lang w:val="es-AR" w:eastAsia="es-AR" w:bidi="es-AR"/>
        </w:rPr>
      </w:pPr>
      <w:r>
        <w:rPr>
          <w:lang w:val="es-AR" w:eastAsia="es-AR" w:bidi="es-AR"/>
        </w:rPr>
        <w:t xml:space="preserve">Como se señaló al tratar el recurso de la demandada, la privación de uso constituye un perjuicio jurídicamente diferenciable del incumplimiento contractual de la aseguradora. Por ello, no puede identificarse automáticamente el período indemnizable con la totalidad del tiempo durante el cual subsistió la falta de pago.</w:t>
      </w:r>
    </w:p>
    <w:p>
      <w:pPr>
        <w:pStyle w:val="[Normal]"/>
        <w:spacing w:line="360" w:lineRule="auto"/>
        <w:ind w:firstLine="1134"/>
        <w:jc w:val="both"/>
        <w:rPr>
          <w:lang w:val="es-AR" w:eastAsia="es-AR" w:bidi="es-AR"/>
        </w:rPr>
      </w:pPr>
      <w:r>
        <w:rPr>
          <w:lang w:val="es-AR" w:eastAsia="es-AR" w:bidi="es-AR"/>
        </w:rPr>
        <w:t xml:space="preserve">El criterio pretendido por la actora conduciría a extender la privación de uso durante todo el período de incumplimiento y, eventualmente, durante la sustanciación del proceso, sin que resulte necesario acreditar que durante todo ese lapso subsistió efectivamente la imposibilidad de procurarse un medio sustitutivo.</w:t>
      </w:r>
    </w:p>
    <w:p>
      <w:pPr>
        <w:pStyle w:val="[Normal]"/>
        <w:spacing w:line="360" w:lineRule="auto"/>
        <w:ind w:firstLine="1134"/>
        <w:jc w:val="both"/>
        <w:rPr>
          <w:lang w:val="es-AR" w:eastAsia="es-AR" w:bidi="es-AR"/>
        </w:rPr>
      </w:pPr>
      <w:r>
        <w:rPr>
          <w:lang w:val="es-AR" w:eastAsia="es-AR" w:bidi="es-AR"/>
        </w:rPr>
        <w:t xml:space="preserve">Para apartarse del período prudencialmente establecido por el juez de grado, correspondía acreditar circunstancias concretas que demostraran que los treinta días resultaban insuficientes para obtener otro medio de movilidad.</w:t>
      </w:r>
    </w:p>
    <w:p>
      <w:pPr>
        <w:pStyle w:val="[Normal]"/>
        <w:spacing w:line="360" w:lineRule="auto"/>
        <w:ind w:firstLine="1134"/>
        <w:jc w:val="both"/>
        <w:rPr>
          <w:lang w:val="es-AR" w:eastAsia="es-AR" w:bidi="es-AR"/>
        </w:rPr>
      </w:pPr>
      <w:r>
        <w:rPr>
          <w:lang w:val="es-AR" w:eastAsia="es-AR" w:bidi="es-AR"/>
        </w:rPr>
        <w:t xml:space="preserve">Al respecto se ha dicho </w:t>
      </w:r>
      <w:r>
        <w:rPr>
          <w:i/>
          <w:lang w:val="es-AR" w:eastAsia="es-AR" w:bidi="es-AR"/>
        </w:rPr>
        <w:t xml:space="preserve">"La idea de destrucción total del rodado no basta para denegar la indemnización por privación del uso del mismo. Tal privanza es una consecuencia necesaria e inmediata de los deterioros provocados al mismo, y como tal debe ser resarcida porque de lo que se trata es de indemnizar esa suerte de daño moral indirecto consistente en las incomodidades, molestias, pérdidas de tiempo y demás vicisitudes a que el titular de un automotor se verá sometido en todos los planos de su vida diaria como resultado de los perjuicios y daños materiales ocasionados al rodado, y de todo lo cual, en alguna medida, será sustraído de su uso y goce, ahora interrumpido por su indeseada y forzosa privanza. De allí que dicho indemnización sólo ha de cubrir en principio, la privanza provocada por el normal y razonable tiempo que demande ubicar y comprar otro vehículo en reemplazo del destruído"</w:t>
      </w:r>
      <w:r>
        <w:rPr>
          <w:lang w:val="es-AR" w:eastAsia="es-AR" w:bidi="es-AR"/>
        </w:rPr>
        <w:t xml:space="preserve"> (CC0103 LP 239088 RSD-47-2 S 18/04/2002 JUBA B201946).-</w:t>
      </w:r>
    </w:p>
    <w:p>
      <w:pPr>
        <w:pStyle w:val="[Normal]"/>
        <w:spacing w:line="360" w:lineRule="auto"/>
        <w:ind w:firstLine="1134"/>
        <w:jc w:val="both"/>
        <w:rPr>
          <w:lang w:val="es-AR" w:eastAsia="es-AR" w:bidi="es-AR"/>
        </w:rPr>
      </w:pPr>
      <w:r>
        <w:rPr>
          <w:lang w:val="es-AR" w:eastAsia="es-AR" w:bidi="es-AR"/>
        </w:rPr>
        <w:t xml:space="preserve">La apelante no señala prueba objetiva que permita establecer cuál habría sido ese período ni acredita circunstancias particulares que justifiquen extenderlo hasta el efectivo cobro de la condena.-</w:t>
      </w:r>
    </w:p>
    <w:p>
      <w:pPr>
        <w:pStyle w:val="[Normal]"/>
        <w:spacing w:line="360" w:lineRule="auto"/>
        <w:ind w:firstLine="1134"/>
        <w:jc w:val="both"/>
        <w:rPr>
          <w:lang w:val="es-AR" w:eastAsia="es-AR" w:bidi="es-AR"/>
        </w:rPr>
      </w:pPr>
      <w:r>
        <w:rPr>
          <w:lang w:val="es-AR" w:eastAsia="es-AR" w:bidi="es-AR"/>
        </w:rPr>
        <w:t xml:space="preserve">La sola alegación de que la adquisición de otro vehículo dependía del cobro de la indemnización no resulta suficiente para convertir la totalidad del tiempo de incumplimiento en período indemnizable por privación de uso.-</w:t>
      </w:r>
    </w:p>
    <w:p>
      <w:pPr>
        <w:pStyle w:val="[Normal]"/>
        <w:spacing w:line="360" w:lineRule="auto"/>
        <w:ind w:firstLine="1134"/>
        <w:jc w:val="both"/>
        <w:rPr>
          <w:lang w:val="es-AR" w:eastAsia="es-AR" w:bidi="es-AR"/>
        </w:rPr>
      </w:pPr>
      <w:r>
        <w:rPr>
          <w:lang w:val="es-AR" w:eastAsia="es-AR" w:bidi="es-AR"/>
        </w:rPr>
        <w:t xml:space="preserve">Por lo tanto, corresponde confirmar el plazo de 30 días establecido en la sentencia.-</w:t>
      </w:r>
    </w:p>
    <w:p>
      <w:pPr>
        <w:pStyle w:val="[Normal]"/>
        <w:spacing w:line="360" w:lineRule="auto"/>
        <w:ind w:firstLine="1134"/>
        <w:jc w:val="both"/>
        <w:rPr>
          <w:lang w:val="es-AR" w:eastAsia="es-AR" w:bidi="es-AR"/>
        </w:rPr>
      </w:pPr>
      <w:r>
        <w:rPr>
          <w:lang w:val="es-AR" w:eastAsia="es-AR" w:bidi="es-AR"/>
        </w:rPr>
        <w:t xml:space="preserve">Tampoco prospera el agravio de la actora relativo al importe diario de $15.000.</w:t>
      </w:r>
    </w:p>
    <w:p>
      <w:pPr>
        <w:pStyle w:val="[Normal]"/>
        <w:spacing w:line="360" w:lineRule="auto"/>
        <w:ind w:firstLine="1134"/>
        <w:jc w:val="both"/>
        <w:rPr>
          <w:lang w:val="es-AR" w:eastAsia="es-AR" w:bidi="es-AR"/>
        </w:rPr>
      </w:pPr>
      <w:r>
        <w:rPr>
          <w:lang w:val="es-AR" w:eastAsia="es-AR" w:bidi="es-AR"/>
        </w:rPr>
        <w:t xml:space="preserve">El sentenciante utilizó como parámetro el costo de alquiler de un vehículo similar y, en ejercicio de la facultad prudencial prevista por el art. 165 del CPCC, fijó el valor diario indicado.</w:t>
      </w:r>
    </w:p>
    <w:p>
      <w:pPr>
        <w:pStyle w:val="[Normal]"/>
        <w:spacing w:line="360" w:lineRule="auto"/>
        <w:ind w:firstLine="1134"/>
        <w:jc w:val="both"/>
        <w:rPr>
          <w:lang w:val="es-AR" w:eastAsia="es-AR" w:bidi="es-AR"/>
        </w:rPr>
      </w:pPr>
      <w:r>
        <w:rPr>
          <w:lang w:val="es-AR" w:eastAsia="es-AR" w:bidi="es-AR"/>
        </w:rPr>
        <w:t xml:space="preserve">La recurrente afirma que dicho importe resulta inferior a los valores de mercado, pero no individualiza una prueba concreta que permita establecer cuál debería ser el importe diario ni demuestra que la suma reconocida resulte manifiestamente insuficiente.</w:t>
      </w:r>
    </w:p>
    <w:p>
      <w:pPr>
        <w:pStyle w:val="[Normal]"/>
        <w:spacing w:line="360" w:lineRule="auto"/>
        <w:ind w:firstLine="1134"/>
        <w:jc w:val="both"/>
        <w:rPr>
          <w:lang w:val="es-AR" w:eastAsia="es-AR" w:bidi="es-AR"/>
        </w:rPr>
      </w:pPr>
      <w:r>
        <w:rPr>
          <w:lang w:val="es-AR" w:eastAsia="es-AR" w:bidi="es-AR"/>
        </w:rPr>
        <w:t xml:space="preserve">La mera invocación de valores superiores no alcanza para descalificar una estimación prudencial que cuenta con fundamento en las circunstancias de la causa.</w:t>
      </w:r>
    </w:p>
    <w:p>
      <w:pPr>
        <w:pStyle w:val="[Normal]"/>
        <w:spacing w:line="360" w:lineRule="auto"/>
        <w:ind w:firstLine="1134"/>
        <w:jc w:val="both"/>
        <w:rPr>
          <w:lang w:val="es-AR" w:eastAsia="es-AR" w:bidi="es-AR"/>
        </w:rPr>
      </w:pPr>
      <w:r>
        <w:rPr>
          <w:lang w:val="es-AR" w:eastAsia="es-AR" w:bidi="es-AR"/>
        </w:rPr>
        <w:t xml:space="preserve">En consecuencia, también corresponde confirmar este aspecto del pronunciamiento.-</w:t>
      </w:r>
    </w:p>
    <w:p>
      <w:pPr>
        <w:pStyle w:val="[Normal]"/>
        <w:spacing w:line="360" w:lineRule="auto"/>
        <w:ind w:firstLine="1134"/>
        <w:jc w:val="both"/>
        <w:rPr>
          <w:lang w:val="es-AR" w:eastAsia="es-AR" w:bidi="es-AR"/>
        </w:rPr>
      </w:pPr>
      <w:r>
        <w:rPr>
          <w:lang w:val="es-AR" w:eastAsia="es-AR" w:bidi="es-AR"/>
        </w:rPr>
        <w:t xml:space="preserve">Misma solución cabe adoptar respecto de la deducción del treinta por ciento efectuada en concepto de combustible no consumido y desgaste no sufrido.</w:t>
      </w:r>
    </w:p>
    <w:p>
      <w:pPr>
        <w:pStyle w:val="[Normal]"/>
        <w:spacing w:line="360" w:lineRule="auto"/>
        <w:ind w:firstLine="1134"/>
        <w:jc w:val="both"/>
        <w:rPr>
          <w:lang w:val="es-AR" w:eastAsia="es-AR" w:bidi="es-AR"/>
        </w:rPr>
      </w:pPr>
      <w:r>
        <w:rPr>
          <w:lang w:val="es-AR" w:eastAsia="es-AR" w:bidi="es-AR"/>
        </w:rPr>
        <w:t xml:space="preserve">La apelante sostiene que la deducción carece de sustento porque la falta de utilización del vehículo propio habría obligado al actor a recurrir a otros medios de transporte.</w:t>
      </w:r>
    </w:p>
    <w:p>
      <w:pPr>
        <w:pStyle w:val="[Normal]"/>
        <w:spacing w:line="360" w:lineRule="auto"/>
        <w:ind w:firstLine="1134"/>
        <w:jc w:val="both"/>
        <w:rPr>
          <w:lang w:val="es-AR" w:eastAsia="es-AR" w:bidi="es-AR"/>
        </w:rPr>
      </w:pPr>
      <w:r>
        <w:rPr>
          <w:lang w:val="es-AR" w:eastAsia="es-AR" w:bidi="es-AR"/>
        </w:rPr>
        <w:t xml:space="preserve">Sin embargo, si para establecer el perjuicio se toma como parámetro el costo de disponer de un vehículo sustituto, resulta razonable ponderar aquellos gastos de funcionamiento que el actor habría afrontado mediante la utilización de su propio rodado y que, como consecuencia de su indisponibilidad, no fueron realizados.</w:t>
      </w:r>
    </w:p>
    <w:p>
      <w:pPr>
        <w:pStyle w:val="[Normal]"/>
        <w:spacing w:line="360" w:lineRule="auto"/>
        <w:ind w:firstLine="1134"/>
        <w:jc w:val="both"/>
        <w:rPr>
          <w:lang w:val="es-AR" w:eastAsia="es-AR" w:bidi="es-AR"/>
        </w:rPr>
      </w:pPr>
      <w:r>
        <w:rPr>
          <w:lang w:val="es-AR" w:eastAsia="es-AR" w:bidi="es-AR"/>
        </w:rPr>
        <w:t xml:space="preserve">La deducción no implica desconocer la eventual existencia de gastos de transporte alternativo, sino evitar que la indemnización se determine sobre la base de un costo que incluya erogaciones que el damnificado no habría soportado en caso de utilizar su propio vehículo.</w:t>
      </w:r>
    </w:p>
    <w:p>
      <w:pPr>
        <w:pStyle w:val="[Normal]"/>
        <w:spacing w:line="360" w:lineRule="auto"/>
        <w:ind w:firstLine="1134"/>
        <w:jc w:val="both"/>
        <w:rPr>
          <w:lang w:val="es-AR" w:eastAsia="es-AR" w:bidi="es-AR"/>
        </w:rPr>
      </w:pPr>
      <w:r>
        <w:rPr>
          <w:lang w:val="es-AR" w:eastAsia="es-AR" w:bidi="es-AR"/>
        </w:rPr>
        <w:t xml:space="preserve">Si la parte actora pretendía demostrar que los gastos efectivamente afrontados por medios alternativos tornaban improcedente la deducción efectuada debió aportar elementos concretos en tal sentido. No habiéndolo hecho la crítica no resulta suficiente para modificar la estimación efectuada por el juez de grado.-</w:t>
      </w:r>
    </w:p>
    <w:p>
      <w:pPr>
        <w:pStyle w:val="[Normal]"/>
        <w:spacing w:line="360" w:lineRule="auto"/>
        <w:ind w:firstLine="1134"/>
        <w:jc w:val="both"/>
        <w:rPr>
          <w:lang w:val="es-AR" w:eastAsia="es-AR" w:bidi="es-AR"/>
        </w:rPr>
      </w:pPr>
      <w:r>
        <w:rPr>
          <w:lang w:val="es-AR" w:eastAsia="es-AR" w:bidi="es-AR"/>
        </w:rPr>
        <w:t xml:space="preserve">Por las razones dadas, citas legales de referencia y con el alcance indicado,</w:t>
      </w:r>
    </w:p>
    <w:p>
      <w:pPr>
        <w:pStyle w:val="[Normal]"/>
        <w:spacing w:line="360" w:lineRule="auto"/>
        <w:ind w:firstLine="1134"/>
        <w:jc w:val="both"/>
        <w:rPr>
          <w:lang w:val="es-AR" w:eastAsia="es-AR" w:bidi="es-AR"/>
        </w:rPr>
      </w:pPr>
      <w:r>
        <w:rPr>
          <w:b/>
          <w:lang w:val="es-AR" w:eastAsia="es-AR" w:bidi="es-AR"/>
        </w:rPr>
        <w:t xml:space="preserve">VOTO POR LA AFIRMATIVA.-</w:t>
      </w:r>
    </w:p>
    <w:p>
      <w:pPr>
        <w:pStyle w:val="[Normal]"/>
        <w:spacing w:line="360" w:lineRule="auto"/>
        <w:ind w:firstLine="1134"/>
        <w:jc w:val="both"/>
        <w:rPr>
          <w:lang w:val="es-AR" w:eastAsia="es-AR" w:bidi="es-AR"/>
        </w:rPr>
      </w:pPr>
      <w:r>
        <w:rPr>
          <w:lang w:val="es-AR" w:eastAsia="es-AR" w:bidi="es-AR"/>
        </w:rPr>
        <w:t xml:space="preserve">A la misma cuestión la señora Jueza Graciela Scaraffía por análogos fundamentos votó en el mismo sentido.-</w:t>
      </w:r>
    </w:p>
    <w:p>
      <w:pPr>
        <w:pStyle w:val="[Normal]"/>
        <w:spacing w:line="360" w:lineRule="auto"/>
        <w:ind w:firstLine="1134"/>
        <w:jc w:val="both"/>
        <w:rPr>
          <w:lang w:val="es-AR" w:eastAsia="es-AR" w:bidi="es-AR"/>
        </w:rPr>
      </w:pPr>
      <w:r>
        <w:rPr>
          <w:lang w:val="es-AR" w:eastAsia="es-AR" w:bidi="es-AR"/>
        </w:rPr>
        <w:t xml:space="preserve">A la segunda cuestión el señor Juez Roberto Degleue dijo: de conformidad al resultado habido al tratarse la cuestión precedente, estimo que el pronunciamiento que corresponde dictar es: </w:t>
      </w:r>
    </w:p>
    <w:p>
      <w:pPr>
        <w:pStyle w:val="[Normal]"/>
        <w:spacing w:line="360" w:lineRule="auto"/>
        <w:ind w:firstLine="1134"/>
        <w:jc w:val="both"/>
        <w:rPr>
          <w:lang w:val="es-AR" w:eastAsia="es-AR" w:bidi="es-AR"/>
        </w:rPr>
      </w:pPr>
      <w:r>
        <w:rPr>
          <w:lang w:val="es-AR" w:eastAsia="es-AR" w:bidi="es-AR"/>
        </w:rPr>
        <w:t xml:space="preserve">1) Hacer lugar parcialmente a los recursos de apelación interpuestos por la parte actora y por la citada en garantía y, en consecuencia, revocar la sentencia de grado en cuanto fijó el rubro daño material en la suma de $5.950.000; el que deberá determinarse en la etapa de liquidación conforme las pautas establecidas en los considerandos, manteniéndose la solución allí dispuesta respecto del límite de cobertura en los términos establecidos.</w:t>
      </w:r>
    </w:p>
    <w:p>
      <w:pPr>
        <w:pStyle w:val="[Normal]"/>
        <w:spacing w:line="360" w:lineRule="auto"/>
        <w:ind w:firstLine="1134"/>
        <w:jc w:val="both"/>
        <w:rPr>
          <w:lang w:val="es-AR" w:eastAsia="es-AR" w:bidi="es-AR"/>
        </w:rPr>
      </w:pPr>
      <w:r>
        <w:rPr>
          <w:lang w:val="es-AR" w:eastAsia="es-AR" w:bidi="es-AR"/>
        </w:rPr>
        <w:t xml:space="preserve">2) Rechazar los restantes agravios de ambas partes y confirmar el pronunciamiento apelado en todo cuanto ha sido materia de recurso.-</w:t>
      </w:r>
    </w:p>
    <w:p>
      <w:pPr>
        <w:pStyle w:val="[Normal]"/>
        <w:spacing w:line="360" w:lineRule="auto"/>
        <w:ind w:firstLine="1134"/>
        <w:jc w:val="both"/>
        <w:rPr>
          <w:lang w:val="es-AR" w:eastAsia="es-AR" w:bidi="es-AR"/>
        </w:rPr>
      </w:pPr>
      <w:r>
        <w:rPr>
          <w:lang w:val="es-AR" w:eastAsia="es-AR" w:bidi="es-AR"/>
        </w:rPr>
        <w:t xml:space="preserve">3) Las costas de Alzada se imponen por su orden, atento al resultado de los recursos deducidos por ambas partes (Arts. 68, segundo párrafo, y 69 del C.P.C.C.).-</w:t>
      </w:r>
    </w:p>
    <w:p>
      <w:pPr>
        <w:pStyle w:val="[Normal]"/>
        <w:spacing w:line="360" w:lineRule="auto"/>
        <w:ind w:firstLine="1134"/>
        <w:jc w:val="both"/>
        <w:rPr>
          <w:lang w:val="es-AR" w:eastAsia="es-AR" w:bidi="es-AR"/>
        </w:rPr>
      </w:pPr>
      <w:r>
        <w:rPr>
          <w:lang w:val="es-AR" w:eastAsia="es-AR" w:bidi="es-AR"/>
        </w:rPr>
        <w:t xml:space="preserve">4) Diferir la regulación de honorarios hasta tanto obre base regulatoria firme en la instancia de origen (Arts. 31 y 51 Ley 14.967).-</w:t>
      </w:r>
    </w:p>
    <w:p>
      <w:pPr>
        <w:pStyle w:val="[Normal]"/>
        <w:spacing w:line="360" w:lineRule="auto"/>
        <w:ind w:firstLine="1134"/>
        <w:jc w:val="both"/>
        <w:rPr>
          <w:lang w:val="es-AR" w:eastAsia="es-AR" w:bidi="es-AR"/>
        </w:rPr>
      </w:pPr>
      <w:r>
        <w:rPr>
          <w:b/>
          <w:lang w:val="es-AR" w:eastAsia="es-AR" w:bidi="es-AR"/>
        </w:rPr>
        <w:t xml:space="preserve">ASI LO VOTO. </w:t>
      </w:r>
    </w:p>
    <w:p>
      <w:pPr>
        <w:pStyle w:val="[Normal]"/>
        <w:spacing w:line="360" w:lineRule="auto"/>
        <w:ind w:firstLine="1134"/>
        <w:jc w:val="both"/>
        <w:rPr>
          <w:lang w:val="es-AR" w:eastAsia="es-AR" w:bidi="es-AR"/>
        </w:rPr>
      </w:pPr>
      <w:r>
        <w:rPr>
          <w:lang w:val="es-AR" w:eastAsia="es-AR" w:bidi="es-AR"/>
        </w:rPr>
        <w:t xml:space="preserve">A la misma cuestión la señora Jueza Graciela Scaraffia</w:t>
      </w:r>
      <w:r>
        <w:rPr>
          <w:color w:val="0000FF"/>
          <w:lang w:val="es-AR" w:eastAsia="es-AR" w:bidi="es-AR"/>
        </w:rPr>
        <w:t xml:space="preserve"> </w:t>
      </w:r>
      <w:r>
        <w:rPr>
          <w:lang w:val="es-AR" w:eastAsia="es-AR" w:bidi="es-AR"/>
        </w:rPr>
        <w:t xml:space="preserve">por análogos fundamentos votó en el mismo sentido.-</w:t>
      </w:r>
    </w:p>
    <w:p>
      <w:pPr>
        <w:pStyle w:val="[Normal]"/>
        <w:spacing w:line="360" w:lineRule="auto"/>
        <w:ind w:firstLine="1134"/>
        <w:jc w:val="both"/>
        <w:rPr>
          <w:lang w:val="es-AR" w:eastAsia="es-AR" w:bidi="es-AR"/>
        </w:rPr>
      </w:pPr>
      <w:r>
        <w:rPr>
          <w:lang w:val="es-AR" w:eastAsia="es-AR" w:bidi="es-AR"/>
        </w:rPr>
        <w:t xml:space="preserve">Con lo que terminó el presente Acuerdo, dictándose la siguiente;</w:t>
      </w:r>
    </w:p>
    <w:p>
      <w:pPr>
        <w:pStyle w:val="[Normal]"/>
        <w:spacing w:line="360" w:lineRule="auto"/>
        <w:ind w:firstLine="1134"/>
        <w:jc w:val="both"/>
        <w:rPr>
          <w:b/>
          <w:u w:val="single"/>
          <w:lang w:val="es-AR" w:eastAsia="es-AR" w:bidi="es-AR"/>
        </w:rPr>
      </w:pPr>
      <w:r>
        <w:rPr>
          <w:b/>
          <w:lang w:val="es-AR" w:eastAsia="es-AR" w:bidi="es-AR"/>
        </w:rPr>
        <w:t xml:space="preserve">S E N T E N C I A</w:t>
      </w:r>
      <w:r>
        <w:rPr>
          <w:lang w:val="es-AR" w:eastAsia="es-AR" w:bidi="es-AR"/>
        </w:rPr>
        <w:t xml:space="preserve">:</w:t>
      </w:r>
    </w:p>
    <w:p>
      <w:pPr>
        <w:pStyle w:val="[Normal]"/>
        <w:spacing w:line="360" w:lineRule="auto"/>
        <w:ind w:firstLine="1134"/>
        <w:jc w:val="both"/>
        <w:rPr>
          <w:lang w:val="es-AR" w:eastAsia="es-AR" w:bidi="es-AR"/>
        </w:rPr>
      </w:pPr>
      <w:r>
        <w:rPr>
          <w:lang w:val="es-AR" w:eastAsia="es-AR" w:bidi="es-AR"/>
        </w:rPr>
        <w:t xml:space="preserve">1) Hacer lugar parcialmente a los recursos de apelación interpuestos por la parte actora y por la citada en garantía y, en consecuencia, revocar la sentencia de grado en cuanto fijó el rubro daño material en la suma de $5.950.000; el que deberá determinarse en la etapa de liquidación conforme las pautas establecidas en los considerandos, manteniéndose la solución allí dispuesta respecto del límite de cobertura en los términos establecidos.</w:t>
      </w:r>
    </w:p>
    <w:p>
      <w:pPr>
        <w:pStyle w:val="[Normal]"/>
        <w:spacing w:line="360" w:lineRule="auto"/>
        <w:ind w:firstLine="1134"/>
        <w:jc w:val="both"/>
        <w:rPr>
          <w:lang w:val="es-AR" w:eastAsia="es-AR" w:bidi="es-AR"/>
        </w:rPr>
      </w:pPr>
      <w:r>
        <w:rPr>
          <w:lang w:val="es-AR" w:eastAsia="es-AR" w:bidi="es-AR"/>
        </w:rPr>
        <w:t xml:space="preserve">2) Rechazar los restantes agravios de ambas partes y confirmar el pronunciamiento apelado en todo cuanto ha sido materia de recurso.</w:t>
      </w:r>
    </w:p>
    <w:p>
      <w:pPr>
        <w:pStyle w:val="[Normal]"/>
        <w:spacing w:line="360" w:lineRule="auto"/>
        <w:ind w:firstLine="1134"/>
        <w:jc w:val="both"/>
        <w:rPr>
          <w:lang w:val="es-AR" w:eastAsia="es-AR" w:bidi="es-AR"/>
        </w:rPr>
      </w:pPr>
      <w:r>
        <w:rPr>
          <w:lang w:val="es-AR" w:eastAsia="es-AR" w:bidi="es-AR"/>
        </w:rPr>
        <w:t xml:space="preserve">3) Las costas de Alzada se imponen por su orden, atento al resultado de los recursos deducidos por ambas partes (Arts. 68, segundo párrafo, y 69 del C.P.C.C.).-</w:t>
      </w:r>
    </w:p>
    <w:p>
      <w:pPr>
        <w:pStyle w:val="[Normal]"/>
        <w:spacing w:line="360" w:lineRule="auto"/>
        <w:ind w:firstLine="1134"/>
        <w:jc w:val="both"/>
        <w:rPr>
          <w:lang w:val="es-AR" w:eastAsia="es-AR" w:bidi="es-AR"/>
        </w:rPr>
      </w:pPr>
      <w:r>
        <w:rPr>
          <w:lang w:val="es-AR" w:eastAsia="es-AR" w:bidi="es-AR"/>
        </w:rPr>
        <w:t xml:space="preserve">4) Diferir la regulación de honorarios hasta tanto obre base regulatoria firme en la instancia de origen (Arts. 31 y 51 Ley 14.967).-</w:t>
      </w:r>
    </w:p>
    <w:p>
      <w:pPr>
        <w:pStyle w:val="[Normal]"/>
        <w:spacing w:line="360" w:lineRule="auto"/>
        <w:ind w:firstLine="1134"/>
        <w:jc w:val="both"/>
        <w:rPr>
          <w:color w:val="000000"/>
          <w:lang w:val="es-AR" w:eastAsia="es-AR" w:bidi="es-AR"/>
        </w:rPr>
      </w:pPr>
      <w:r>
        <w:rPr>
          <w:lang w:val="es-AR" w:eastAsia="es-AR" w:bidi="es-AR"/>
        </w:rPr>
        <w:t xml:space="preserve">Regístrese. Notifíquese por Secretaría (Ac. 4013 y mod. SCBA) remitiéndose copia digital de la presente sentencia a los domicilios electrónicos de las respectivas partes. Devuélvase.-</w:t>
      </w:r>
    </w:p>
    <w:p>
      <w:pPr>
        <w:pStyle w:val="[Normal]"/>
        <w:spacing w:line="480" w:lineRule="auto"/>
        <w:ind w:firstLine="1134"/>
        <w:jc w:val="both"/>
        <w:rPr>
          <w:color w:val="000000"/>
          <w:lang w:val="es-AR" w:eastAsia="es-AR" w:bidi="es-AR"/>
        </w:rPr>
      </w:pPr>
      <w:r>
        <w:rPr>
          <w:color w:val="000000"/>
          <w:lang w:val="es-AR" w:eastAsia="es-AR" w:bidi="es-AR"/>
        </w:rPr>
        <w:t xml:space="preserve"> </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lang w:val="es-AR" w:eastAsia="es-AR" w:bidi="es-AR"/>
        </w:rPr>
      </w:pPr>
      <w:r>
        <w:rPr>
          <w:lang w:val="es-AR" w:eastAsia="es-AR" w:bidi="es-AR"/>
        </w:rPr>
        <w:br w:type="textWrapping"/>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rStyle w:val="B"/>
          <w:u w:val="single"/>
          <w:lang w:val="es-AR" w:eastAsia="es-AR" w:bidi="es-AR"/>
        </w:rPr>
        <w:t xml:space="preserve">REFERENCIAS: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lang w:val="es-AR" w:eastAsia="es-AR" w:bidi="es-AR"/>
        </w:rPr>
        <w:t xml:space="preserve">Funcionario Firmante: 17/09/2026 11:20:36 - SCARAFFIA Graciela Hilda - JUEZ</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lang w:val="es-AR" w:eastAsia="es-AR" w:bidi="es-AR"/>
        </w:rPr>
        <w:t xml:space="preserve">Funcionario Firmante: 17/09/2026 11:21:46 - DEGLEUE Roberto Manuel - JUEZ</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lang w:val="es-AR" w:eastAsia="es-AR" w:bidi="es-AR"/>
        </w:rPr>
        <w:t xml:space="preserve">Funcionario Firmante: 17/09/2026 11:23:47 - PELUSA Juan Cruz - AUXILIAR LETRADO</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336" w:after="336"/>
        <w:rPr>
          <w:rFonts w:ascii="BarCode 128" w:hAnsi="BarCode 128" w:eastAsia="BarCode 128" w:cs="BarCode 128"/>
          <w:sz w:val="60"/>
          <w:lang w:val="es-AR" w:eastAsia="es-AR" w:bidi="es-AR"/>
        </w:rPr>
      </w:pPr>
      <w:r>
        <w:rPr>
          <w:rFonts w:ascii="BarCode 128" w:hAnsi="BarCode 128" w:eastAsia="BarCode 128" w:cs="BarCode 128"/>
          <w:sz w:val="60"/>
          <w:lang w:val="es-AR" w:eastAsia="es-AR" w:bidi="es-AR"/>
        </w:rPr>
        <w:t xml:space="preserve">‰9o")è&amp;‚WÂƒŠ</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12" w:after="112"/>
        <w:rPr>
          <w:sz w:val="20"/>
          <w:lang w:val="es-AR" w:eastAsia="es-AR" w:bidi="es-AR"/>
        </w:rPr>
      </w:pPr>
      <w:r>
        <w:rPr>
          <w:sz w:val="20"/>
          <w:lang w:val="es-AR" w:eastAsia="es-AR" w:bidi="es-AR"/>
        </w:rPr>
        <w:t xml:space="preserve">257902090006985597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lang w:val="es-AR" w:eastAsia="es-AR" w:bidi="es-AR"/>
        </w:rPr>
      </w:pPr>
      <w:r>
        <w:rPr>
          <w:lang w:val="es-AR" w:eastAsia="es-AR" w:bidi="es-AR"/>
        </w:rPr>
        <w:br w:type="textWrapping"/>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rStyle w:val="B"/>
          <w:lang w:val="es-AR" w:eastAsia="es-AR" w:bidi="es-AR"/>
        </w:rPr>
        <w:t xml:space="preserve">CAMARA DE APELACION EN LO CIVIL Y COMERCIAL PERGAMINO</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rStyle w:val="B"/>
          <w:u w:val="single"/>
          <w:lang w:val="es-AR" w:eastAsia="es-AR" w:bidi="es-AR"/>
        </w:rPr>
        <w:t xml:space="preserve">NO CONTIENE ARCHIVOS ADJUNTOS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lang w:val="es-AR" w:eastAsia="es-AR" w:bidi="es-AR"/>
        </w:rPr>
        <w:t xml:space="preserve">Registrado en REGISTRO DE SENTENCIAS el 17/09/2026 11:24:12 hs. bajo el número RS-148-2026 por PELUSA JUAN.</w:t>
      </w:r>
    </w:p>
    <w:p>
      <w:pPr>
        <w:pStyle w:val="[Normal]"/>
        <w:rPr>
          <w:lang w:val="es-AR" w:eastAsia="es-AR" w:bidi="es-AR"/>
        </w:rPr>
      </w:pPr>
    </w:p>
    <w:sectPr>
      <w:pgSz w:w="11906" w:h="16832"/>
      <w:pgMar w:top="2835" w:right="850" w:bottom="1134" w:left="2835" w:header="567" w:footer="567"/>
      <w:pgBorders w:display="allPages" w:offsetFrom="page"/>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 w:name="BarCode 128">
    <w:charset w:val="00"/>
    <w:family w:val="auto"/>
    <w:pitch w:val="variable"/>
  </w:font>
</w:fonts>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bordersDoNotSurroundHeader/>
  <w:bordersDoNotSurroundFooter/>
  <w:defaultTabStop w:val="1134"/>
  <w:compat>
    <w:noExtraLineSpacing/>
  </w:compat>
  <tx24:txVer tx24:val="25.0.323.500"/>
</w:settings>
</file>

<file path=word/styles.xml><?xml version="1.0" encoding="utf-8"?>
<w:styles xmlns:w="http://schemas.openxmlformats.org/wordprocessingml/2006/main">
  <w:docDefaults>
    <w:rPrDefault>
      <w:rPr>
        <w:rFonts w:ascii="Arial"/>
        <w:sz w:val="24"/>
      </w:rPr>
    </w:rPrDefault>
  </w:docDefaults>
  <w:style w:type="paragraph" w:styleId="[Normal]" w:default="1">
    <w:name w:val="[Normal]"/>
    <w:next w:val="[Normal]"/>
    <w:qFormat/>
    <w:pPr>
      <w:widowControl w:val="off"/>
      <w:shd w:val="clear" w:color="auto" w:fill="auto"/>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after="0" w:line="240" w:lineRule="auto"/>
      <w:ind w:left="0" w:right="0" w:firstLine="0"/>
      <w:jc w:val="left"/>
    </w:pPr>
    <w:rPr>
      <w:rFonts w:ascii="Arial" w:hAnsi="Arial" w:eastAsia="Arial" w:cs="Arial"/>
      <w:b w:val="off"/>
      <w:bCs w:val="off"/>
      <w:i w:val="off"/>
      <w:iCs w:val="off"/>
      <w:strike w:val="off"/>
      <w:color w:val="auto"/>
      <w:position w:val="0"/>
      <w:sz w:val="24"/>
      <w:szCs w:val="24"/>
      <w:shd w:val="clear" w:color="auto" w:fill="auto"/>
      <w:rtl w:val="off"/>
      <w:lang w:val="x-none" w:eastAsia="x-none" w:bidi="x-none"/>
    </w:rPr>
  </w:style>
  <w:style w:type="paragraph" w:styleId="BODY">
    <w:name w:val="BODY"/>
    <w:basedOn w:val="[Normal]"/>
    <w:next w:val="BODY"/>
    <w:qFormat/>
    <w:pPr>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pPr>
    <w:rPr/>
  </w:style>
  <w:style w:type="character" w:styleId="B">
    <w:name w:val="B"/>
    <w:qFormat/>
    <w:rPr>
      <w:b/>
      <w:bCs/>
      <w:rtl w:val="off"/>
      <w:lang w:val="x-none" w:eastAsia="x-none" w:bidi="x-none"/>
    </w:rPr>
  </w:style>
</w:styles>
</file>

<file path=word/_rels/document.xml.rels><?xml version="1.0" encoding="UTF-8" standalone="yes"?><Relationships xmlns="http://schemas.openxmlformats.org/package/2006/relationships">
	<Relationship Id="rId00002" Type="http://schemas.openxmlformats.org/officeDocument/2006/relationships/styles" Target="styles.xml"/>
	<Relationship Id="rId00003" Type="http://schemas.openxmlformats.org/officeDocument/2006/relationships/fontTable" Target="fontTable.xml"/>
	<Relationship Id="rId00004" Type="http://schemas.openxmlformats.org/officeDocument/2006/relationships/settings" Target="settings.xml"/>
</Relationships>
</file>