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6114-26</w:t>
      </w:r>
      <w:r>
        <w:rPr>
          <w:lang w:val="es-AR" w:eastAsia="es-AR" w:bidi="es-AR"/>
        </w:rPr>
        <w:t xml:space="preserve"> caratulada </w:t>
      </w:r>
      <w:r>
        <w:rPr>
          <w:b/>
          <w:lang w:val="es-AR" w:eastAsia="es-AR" w:bidi="es-AR"/>
        </w:rPr>
        <w:t xml:space="preserve">"</w:t>
      </w:r>
      <w:r>
        <w:rPr>
          <w:b/>
          <w:color w:val="000000"/>
          <w:lang w:val="es-AR" w:eastAsia="es-AR" w:bidi="es-AR"/>
        </w:rPr>
        <w:t xml:space="preserve">GILICH JORGE C/ GIORDANO CRISTIAN ALEJANDRO Y OTROS/ DAÑOS Y PERJ.RESP.PROFESIONAL (EXCLUIDO ESTADO)</w:t>
      </w:r>
      <w:r>
        <w:rPr>
          <w:b/>
          <w:lang w:val="es-AR" w:eastAsia="es-AR" w:bidi="es-AR"/>
        </w:rPr>
        <w:t xml:space="preserve">"</w:t>
      </w:r>
      <w:r>
        <w:rPr>
          <w:lang w:val="es-AR" w:eastAsia="es-AR" w:bidi="es-AR"/>
        </w:rPr>
        <w:t xml:space="preserve">, Expte. N° 78.818 del Juzgado Civil y Comercial N° 1</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El señor Juez de primera instancia rechazó las excepciones de prescripción opuestas por los codemandados Laura Sonia Angélica Mazzieri, Santiago Mazzieri y Cristian Alejandro Giordano, con costas a su cargo por resultar vencidos. Difirió la regulación de honorarios de los letrados intervinientes. Rechazó las excepciones de falta de legitimación pasiva opuestas por los codemandados Laura Sonia Angélica Mazzieri,  Santiago Mazzieri y Cristian Alejandro Giordano, con costas a su cargo por resultar vencidos. Difirió la regulación de honorarios de los letrados intervinientes. Rechazó la demanda articulada por Jorge Gilich,  con costas a su cargo por resultar vencido.  Difirió la regulación de honorarios de los letrados intervinientes y de la perito.</w:t>
      </w:r>
    </w:p>
    <w:p>
      <w:pPr>
        <w:pStyle w:val="[Normal]"/>
        <w:spacing w:line="360" w:lineRule="auto"/>
        <w:ind w:firstLine="1134"/>
        <w:jc w:val="both"/>
        <w:rPr>
          <w:lang w:val="es-AR" w:eastAsia="es-AR" w:bidi="es-AR"/>
        </w:rPr>
      </w:pPr>
      <w:r>
        <w:rPr>
          <w:lang w:val="es-AR" w:eastAsia="es-AR" w:bidi="es-AR"/>
        </w:rPr>
        <w:t xml:space="preserve">Tal decisorio dio lugar al recurso de apelación interpuesto el 28-5-2026 por el apoderado del actor, concedido el 2-6-2026 libremente.</w:t>
      </w:r>
    </w:p>
    <w:p>
      <w:pPr>
        <w:pStyle w:val="[Normal]"/>
        <w:spacing w:line="360" w:lineRule="auto"/>
        <w:ind w:firstLine="1134"/>
        <w:jc w:val="both"/>
        <w:rPr>
          <w:lang w:val="es-AR" w:eastAsia="es-AR" w:bidi="es-AR"/>
        </w:rPr>
      </w:pPr>
      <w:r>
        <w:rPr>
          <w:lang w:val="es-AR" w:eastAsia="es-AR" w:bidi="es-AR"/>
        </w:rPr>
        <w:t xml:space="preserve">Ingresados los autos a esta Alzada el 3-6-2026, se dicta medida para mejor proveer el 9-6-2026 solicitando causa penal, ordenando el 18-6-2026 exprese agravios la recurrente, haciéndolo el 23-6-2026, confiriéndose traslado del memorial a la contraparte siendo contestado el 1-7-2026.</w:t>
      </w:r>
    </w:p>
    <w:p>
      <w:pPr>
        <w:pStyle w:val="[Normal]"/>
        <w:spacing w:line="360" w:lineRule="auto"/>
        <w:ind w:firstLine="1134"/>
        <w:jc w:val="both"/>
        <w:rPr>
          <w:lang w:val="es-AR" w:eastAsia="es-AR" w:bidi="es-AR"/>
        </w:rPr>
      </w:pPr>
      <w:r>
        <w:rPr>
          <w:lang w:val="es-AR" w:eastAsia="es-AR" w:bidi="es-AR"/>
        </w:rPr>
        <w:t xml:space="preserve">El 7-7-2026 se dicta el llamamiento de autos para sentencia, providencia que firme a la fecha deja la causa en condiciones de ser fallada.</w:t>
      </w:r>
    </w:p>
    <w:p>
      <w:pPr>
        <w:pStyle w:val="[Normal]"/>
        <w:spacing w:line="360" w:lineRule="auto"/>
        <w:ind w:firstLine="1134"/>
        <w:jc w:val="both"/>
        <w:rPr>
          <w:lang w:val="es-AR" w:eastAsia="es-AR" w:bidi="es-AR"/>
        </w:rPr>
      </w:pPr>
      <w:r>
        <w:rPr>
          <w:lang w:val="es-AR" w:eastAsia="es-AR" w:bidi="es-AR"/>
        </w:rPr>
        <w:t xml:space="preserve">En sustento de su crítica recursiva, la parte actora expresa los siguientes puntos :</w:t>
      </w:r>
    </w:p>
    <w:p>
      <w:pPr>
        <w:pStyle w:val="[Normal]"/>
        <w:spacing w:line="360" w:lineRule="auto"/>
        <w:jc w:val="both"/>
        <w:rPr>
          <w:color w:val="000000"/>
          <w:lang w:val="es-AR" w:eastAsia="es-AR" w:bidi="es-AR"/>
        </w:rPr>
      </w:pPr>
      <w:r>
        <w:rPr>
          <w:color w:val="000000"/>
          <w:lang w:val="es-AR" w:eastAsia="es-AR" w:bidi="es-AR"/>
        </w:rPr>
        <w:t xml:space="preserve"> 	1) Erróneo tratamiento de la falsedad de los instrumentos públicos y alcance del principio iura novit curia.	</w:t>
        <w:br w:type="textWrapping"/>
      </w:r>
      <w:r>
        <w:rPr>
          <w:color w:val="000000"/>
          <w:lang w:val="es-AR" w:eastAsia="es-AR" w:bidi="es-AR"/>
        </w:rPr>
        <w:t xml:space="preserve"> 	La actora cuestiona que la sentencia haya desestimado sus objeciones respecto de las constancias incorporadas en los instrumentos notariales -especialmente las relativas al pago del precio- con fundamento en que no promovió formalmente una redargución de falsedad. Sostiene que ese razonamiento privilegia la denominación jurídica de la pretensión por sobre los hechos efectivamente alegados y probados.</w:t>
      </w:r>
    </w:p>
    <w:p>
      <w:pPr>
        <w:pStyle w:val="[Normal]"/>
        <w:spacing w:line="360" w:lineRule="auto"/>
        <w:jc w:val="both"/>
        <w:rPr>
          <w:color w:val="000000"/>
          <w:lang w:val="es-AR" w:eastAsia="es-AR" w:bidi="es-AR"/>
        </w:rPr>
      </w:pPr>
      <w:r>
        <w:rPr>
          <w:color w:val="000000"/>
          <w:lang w:val="es-AR" w:eastAsia="es-AR" w:bidi="es-AR"/>
        </w:rPr>
        <w:t xml:space="preserve"> 	En concreto, afirma que desde la demanda denunció que las escrituras consignaban falsamente la recepción del precio por Gilich y que aportó elementos destinados a demostrar esa circunstancia. Por ello entiende que, conforme al principio iura novit curia, correspondía al juzgador encuadrar jurídicamente los hechos introducidos, sin exigir que la parte hubiera utilizado la denominación técnica de </w:t>
      </w:r>
      <w:r>
        <w:rPr>
          <w:i/>
          <w:color w:val="000000"/>
          <w:lang w:val="es-AR" w:eastAsia="es-AR" w:bidi="es-AR"/>
        </w:rPr>
        <w:t xml:space="preserve">“redargución de falsedad”</w:t>
      </w:r>
      <w:r>
        <w:rPr>
          <w:color w:val="000000"/>
          <w:lang w:val="es-AR" w:eastAsia="es-AR" w:bidi="es-AR"/>
        </w:rPr>
        <w:t xml:space="preserve">. Vincula esa omisión con el deber de dictar una decisión fundada, la tutela judicial efectiva y el principio de congruencia. 	</w:t>
        <w:br w:type="textWrapping"/>
      </w:r>
      <w:r>
        <w:rPr>
          <w:color w:val="000000"/>
          <w:lang w:val="es-AR" w:eastAsia="es-AR" w:bidi="es-AR"/>
        </w:rPr>
        <w:t xml:space="preserve"> 	2) Omisión y valoración fragmentaria de prueba decisiva sobre el engaño y la ausencia de consentimiento real.</w:t>
      </w:r>
    </w:p>
    <w:p>
      <w:pPr>
        <w:pStyle w:val="[Normal]"/>
        <w:spacing w:line="360" w:lineRule="auto"/>
        <w:jc w:val="both"/>
        <w:rPr>
          <w:color w:val="000000"/>
          <w:lang w:val="es-AR" w:eastAsia="es-AR" w:bidi="es-AR"/>
        </w:rPr>
      </w:pPr>
      <w:r>
        <w:rPr>
          <w:color w:val="000000"/>
          <w:lang w:val="es-AR" w:eastAsia="es-AR" w:bidi="es-AR"/>
        </w:rPr>
        <w:t xml:space="preserve"> 	La recurrente sostiene que la sentencia arribó a la conclusión de que Gilich conoció y consintió la venta mediante una apreciación parcial de la prueba, omitiendo elementos que considerados conjuntamente, demostrarían que firmó los instrumentos bajo una representación equivocada de la operación. 	</w:t>
        <w:br w:type="textWrapping"/>
      </w:r>
      <w:r>
        <w:rPr>
          <w:color w:val="000000"/>
          <w:lang w:val="es-AR" w:eastAsia="es-AR" w:bidi="es-AR"/>
        </w:rPr>
        <w:t xml:space="preserve"> 	Plantea que Gilich entendió que la actuación estaba vinculada con la liquidación de la sociedad conyugal y con la entrega a su ex esposa de la parte que le correspondía sobre el inmueble, contexto que atribuye al asesoramiento de Giordano, quien había sido su abogado en aquel proceso.	 	En este sentido, destaca que la liquidación conyugal había concluido anteriormente por desistimiento y archivo, circunstancia conocida por el letrado; que posteriormente Giordano apareció comprando </w:t>
      </w:r>
      <w:r>
        <w:rPr>
          <w:i/>
          <w:color w:val="000000"/>
          <w:lang w:val="es-AR" w:eastAsia="es-AR" w:bidi="es-AR"/>
        </w:rPr>
        <w:t xml:space="preserve">“en comisión”</w:t>
      </w:r>
      <w:r>
        <w:rPr>
          <w:color w:val="000000"/>
          <w:lang w:val="es-AR" w:eastAsia="es-AR" w:bidi="es-AR"/>
        </w:rPr>
        <w:t xml:space="preserve">; y que el actor otorgó un poder a Santiago Mazzieri pese a no conocerlo. Para el apelante, la valoración conjunta de esos datos desvirtúa la premisa sentencial de una venta libre, consciente y voluntaria.</w:t>
      </w:r>
    </w:p>
    <w:p>
      <w:pPr>
        <w:pStyle w:val="[Normal]"/>
        <w:spacing w:line="360" w:lineRule="auto"/>
        <w:jc w:val="both"/>
        <w:rPr>
          <w:color w:val="000000"/>
          <w:lang w:val="es-AR" w:eastAsia="es-AR" w:bidi="es-AR"/>
        </w:rPr>
      </w:pPr>
      <w:r>
        <w:rPr>
          <w:color w:val="000000"/>
          <w:lang w:val="es-AR" w:eastAsia="es-AR" w:bidi="es-AR"/>
        </w:rPr>
        <w:t xml:space="preserve"> 	3) Incorrecta valoración de la efectiva percepción del precio y del carácter real de la operación económica.</w:t>
      </w:r>
    </w:p>
    <w:p>
      <w:pPr>
        <w:pStyle w:val="[Normal]"/>
        <w:spacing w:line="360" w:lineRule="auto"/>
        <w:jc w:val="both"/>
        <w:rPr>
          <w:color w:val="000000"/>
          <w:lang w:val="es-AR" w:eastAsia="es-AR" w:bidi="es-AR"/>
        </w:rPr>
      </w:pPr>
      <w:r>
        <w:rPr>
          <w:color w:val="000000"/>
          <w:lang w:val="es-AR" w:eastAsia="es-AR" w:bidi="es-AR"/>
        </w:rPr>
        <w:t xml:space="preserve"> 	La actora reprocha que el fallo haya tenido por acreditado el pago del precio esencialmente a partir de las declaraciones contenidas en el boleto, el poder y la escritura, sin confrontarlas adecuadamente con el resto de las constancias que negarían que Gilich hubiera recibido efectivamente el dinero consignado.	</w:t>
        <w:br w:type="textWrapping"/>
      </w:r>
      <w:r>
        <w:rPr>
          <w:color w:val="000000"/>
          <w:lang w:val="es-AR" w:eastAsia="es-AR" w:bidi="es-AR"/>
        </w:rPr>
        <w:t xml:space="preserve"> 	El recurso sostiene que los instrumentos notariales expresan que el vendedor recibió $1.200.000 y posteriormente el saldo del precio, pero que dicha afirmación no reflejaría lo realmente acontecido. En particular, pone de relieve que Santiago Mazzieri reconoció en sede penal no conocer personalmente al actor, pese a haber intervenido como mandatario en la escrituración y aparecer vinculado documentalmente al pago. A criterio del recurrente, esa circunstancia, sumada a las características de la operatoria entre Giordano, Santiago y Laura Mazzieri, obligaba a extremar el análisis sobre la realidad del pago y no a tenerlo por demostrado exclusivamente mediante las manifestaciones instrumentales cuestionadas.	</w:t>
        <w:br w:type="textWrapping"/>
      </w:r>
      <w:r>
        <w:rPr>
          <w:color w:val="000000"/>
          <w:lang w:val="es-AR" w:eastAsia="es-AR" w:bidi="es-AR"/>
        </w:rPr>
        <w:t xml:space="preserve"> 	4) Falta de adecuada ponderación del conflicto de intereses y de la actuación profesional de Giordano.</w:t>
      </w:r>
    </w:p>
    <w:p>
      <w:pPr>
        <w:pStyle w:val="[Normal]"/>
        <w:spacing w:line="360" w:lineRule="auto"/>
        <w:jc w:val="both"/>
        <w:rPr>
          <w:color w:val="000000"/>
          <w:lang w:val="es-AR" w:eastAsia="es-AR" w:bidi="es-AR"/>
        </w:rPr>
      </w:pPr>
      <w:r>
        <w:rPr>
          <w:color w:val="000000"/>
          <w:lang w:val="es-AR" w:eastAsia="es-AR" w:bidi="es-AR"/>
        </w:rPr>
        <w:t xml:space="preserve"> 	Se agravia la actora porque considera que la sentencia no otorgó relevancia jurídica suficiente a la circunstancia de que Giordano hubiese intervenido en la adquisición del inmueble después de haber sido abogado de Gilich respecto del mismo bien y contando, por ello, con información y ascendencia profesional sobre su antiguo cliente.</w:t>
      </w:r>
    </w:p>
    <w:p>
      <w:pPr>
        <w:pStyle w:val="[Normal]"/>
        <w:spacing w:line="360" w:lineRule="auto"/>
        <w:jc w:val="both"/>
        <w:rPr>
          <w:color w:val="000000"/>
          <w:lang w:val="es-AR" w:eastAsia="es-AR" w:bidi="es-AR"/>
        </w:rPr>
      </w:pPr>
      <w:r>
        <w:rPr>
          <w:color w:val="000000"/>
          <w:lang w:val="es-AR" w:eastAsia="es-AR" w:bidi="es-AR"/>
        </w:rPr>
        <w:t xml:space="preserve"> 	El apelante destaca que Giordano había patrocinado a Gilich en la liquidación de la sociedad conyugal, conocía la situación jurídica del inmueble y las circunstancias personales del actor y, pese a ello, posteriormente figuró como comprador en comisión en el boleto del 2/05/2019. La actora vincula esa conducta con la prohibición del art. 1002 inc. c) del CCyC, con los deberes derivados de la relación profesional y con la alegada operatoria desarrollada en beneficio de personas relacionadas laboralmente con Giordano. Desde esa perspectiva, sostiene que el fallo examinó los distintos actos aisladamente y no como integrantes de una secuencia negocial susceptible de revelar conflicto de intereses, simulación o fraude.</w:t>
      </w:r>
    </w:p>
    <w:p>
      <w:pPr>
        <w:pStyle w:val="[Normal]"/>
        <w:spacing w:line="360" w:lineRule="auto"/>
        <w:jc w:val="both"/>
        <w:rPr>
          <w:color w:val="000000"/>
          <w:lang w:val="es-AR" w:eastAsia="es-AR" w:bidi="es-AR"/>
        </w:rPr>
      </w:pPr>
      <w:r>
        <w:rPr>
          <w:color w:val="000000"/>
          <w:lang w:val="es-AR" w:eastAsia="es-AR" w:bidi="es-AR"/>
        </w:rPr>
        <w:t xml:space="preserve"> 	5) Omisión de ponderar la desproporción económica, la vulnerabilidad del actor y la prueba relativa al aprovechamiento de su situación.	</w:t>
        <w:br w:type="textWrapping"/>
      </w:r>
      <w:r>
        <w:rPr>
          <w:color w:val="000000"/>
          <w:lang w:val="es-AR" w:eastAsia="es-AR" w:bidi="es-AR"/>
        </w:rPr>
        <w:t xml:space="preserve"> 	La actora cuestiona que la sentencia haya descartado la existencia de lesión, aprovechamiento o fraude sin valorar suficientemente la manifiesta desproporción que denuncia entre el valor del inmueble y el precio instrumentado, conjuntamente con las condiciones personales del actor.</w:t>
      </w:r>
    </w:p>
    <w:p>
      <w:pPr>
        <w:pStyle w:val="[Normal]"/>
        <w:spacing w:line="360" w:lineRule="auto"/>
        <w:jc w:val="both"/>
        <w:rPr>
          <w:color w:val="000000"/>
          <w:lang w:val="es-AR" w:eastAsia="es-AR" w:bidi="es-AR"/>
        </w:rPr>
      </w:pPr>
      <w:r>
        <w:rPr>
          <w:color w:val="000000"/>
          <w:lang w:val="es-AR" w:eastAsia="es-AR" w:bidi="es-AR"/>
        </w:rPr>
        <w:t xml:space="preserve"> 	El memorial presenta como relevantes la edad avanzada de Gilich, su escasa escolaridad, la relación de confianza previa con Giordano, el hecho de que el inmueble constituía su vivienda y lugar de trabajo y la diferencia que afirma existente entre el precio consignado y el valor real de mercado. La pericia psicológica incorporada al expediente consigna que Gilich tenía 84 años al momento de ser examinado, escolaridad primaria incompleta hasta cuarto grado y que continuaba residiendo en el predio objeto del litigio, donde había desarrollado durante más de veinte años su actividad vinculada al cuidado de caballos. Para la apelante, tales circunstancias debían ser examinadas conjuntamente con la operatoria contractual para determinar si existió aprovechamiento, lesión o vicio de la voluntad, y no descartadas mediante una lectura predominantemente formal de los instrumentos suscriptos. </w:t>
      </w:r>
    </w:p>
    <w:p>
      <w:pPr>
        <w:pStyle w:val="[Normal]"/>
        <w:spacing w:line="360" w:lineRule="auto"/>
        <w:jc w:val="both"/>
        <w:rPr>
          <w:color w:val="000000"/>
          <w:lang w:val="es-AR" w:eastAsia="es-AR" w:bidi="es-AR"/>
        </w:rPr>
      </w:pPr>
      <w:r>
        <w:rPr>
          <w:color w:val="000000"/>
          <w:lang w:val="es-AR" w:eastAsia="es-AR" w:bidi="es-AR"/>
        </w:rPr>
        <w:t xml:space="preserve"> 	6) Errónea aplicación de la doctrina de los actos propios.</w:t>
      </w:r>
    </w:p>
    <w:p>
      <w:pPr>
        <w:pStyle w:val="[Normal]"/>
        <w:spacing w:line="360" w:lineRule="auto"/>
        <w:jc w:val="both"/>
        <w:rPr>
          <w:color w:val="000000"/>
          <w:lang w:val="es-AR" w:eastAsia="es-AR" w:bidi="es-AR"/>
        </w:rPr>
      </w:pPr>
      <w:r>
        <w:rPr>
          <w:color w:val="000000"/>
          <w:lang w:val="es-AR" w:eastAsia="es-AR" w:bidi="es-AR"/>
        </w:rPr>
        <w:t xml:space="preserve"> 	La actora cuestiona que la sentencia haya considerado incompatible su pretensión impugnatoria con la conducta anteriormente desplegada al suscribir el boleto de compraventa, otorgar el poder irrevocable y participar en los actos escriturarios, pues sostiene que la doctrina de los actos propios no puede operar respecto de conductas cuya validez, eficacia y carácter voluntario constituyen precisamente el objeto de controversia.</w:t>
      </w:r>
    </w:p>
    <w:p>
      <w:pPr>
        <w:pStyle w:val="[Normal]"/>
        <w:spacing w:line="360" w:lineRule="auto"/>
        <w:jc w:val="both"/>
        <w:rPr>
          <w:color w:val="000000"/>
          <w:lang w:val="es-AR" w:eastAsia="es-AR" w:bidi="es-AR"/>
        </w:rPr>
      </w:pPr>
      <w:r>
        <w:rPr>
          <w:color w:val="000000"/>
          <w:lang w:val="es-AR" w:eastAsia="es-AR" w:bidi="es-AR"/>
        </w:rPr>
        <w:t xml:space="preserve"> 	El apelante afirma que la aplicación del principio presupone una conducta anterior jurídicamente eficaz, deliberada y atribuible al mismo sujeto, ejecutada con discernimiento, intención y libertad, extremos que considera ausentes porque los actos habrían sido realizados bajo engaño, simulación y abuso de confianza. Añade que tampoco existiría identidad suficiente entre las distintas relaciones jurídicas y sujetos que intervinieron en la operatoria, y reprocha al juez haber tenido por configurada una conducta vinculante sin resolver previamente las impugnaciones dirigidas contra la propia validez y eficacia de los actos invocados como antecedente.</w:t>
      </w:r>
    </w:p>
    <w:p>
      <w:pPr>
        <w:pStyle w:val="[Normal]"/>
        <w:spacing w:line="360" w:lineRule="auto"/>
        <w:jc w:val="both"/>
        <w:rPr>
          <w:color w:val="000000"/>
          <w:lang w:val="es-AR" w:eastAsia="es-AR" w:bidi="es-AR"/>
        </w:rPr>
      </w:pPr>
      <w:r>
        <w:rPr>
          <w:color w:val="000000"/>
          <w:lang w:val="es-AR" w:eastAsia="es-AR" w:bidi="es-AR"/>
        </w:rPr>
        <w:t xml:space="preserve"> 	7) Incorrecta atribución de eficacia probatoria a la desestimación y archivo de la causa penal.</w:t>
      </w:r>
    </w:p>
    <w:p>
      <w:pPr>
        <w:pStyle w:val="[Normal]"/>
        <w:spacing w:line="360" w:lineRule="auto"/>
        <w:jc w:val="both"/>
        <w:rPr>
          <w:color w:val="000000"/>
          <w:lang w:val="es-AR" w:eastAsia="es-AR" w:bidi="es-AR"/>
        </w:rPr>
      </w:pPr>
      <w:r>
        <w:rPr>
          <w:color w:val="000000"/>
          <w:lang w:val="es-AR" w:eastAsia="es-AR" w:bidi="es-AR"/>
        </w:rPr>
        <w:t xml:space="preserve"> 	La recurrente objeta que el fallo haya utilizado lo resuelto en sede penal como elemento relevante para tener por acreditado el pago del saldo del precio, descartar la existencia de engaño y reforzar la validez de la operación, atribuyendo a aquella decisión un alcance que, según sostiene, no poseía respecto de las cuestiones civiles sometidas a juzgamiento.</w:t>
      </w:r>
    </w:p>
    <w:p>
      <w:pPr>
        <w:pStyle w:val="[Normal]"/>
        <w:spacing w:line="360" w:lineRule="auto"/>
        <w:jc w:val="both"/>
        <w:rPr>
          <w:color w:val="000000"/>
          <w:lang w:val="es-AR" w:eastAsia="es-AR" w:bidi="es-AR"/>
        </w:rPr>
      </w:pPr>
      <w:r>
        <w:rPr>
          <w:color w:val="000000"/>
          <w:lang w:val="es-AR" w:eastAsia="es-AR" w:bidi="es-AR"/>
        </w:rPr>
        <w:t xml:space="preserve"> 	Además, señala que la denuncia penal fue desestimada y archivada sin que mediara un pronunciamiento definitivo sobre la validez de los negocios jurídicos, la simulación, el fraude, la nulidad o la responsabilidad civil, materias que excedían el objeto propio de aquel trámite. </w:t>
      </w:r>
    </w:p>
    <w:p>
      <w:pPr>
        <w:pStyle w:val="[Normal]"/>
        <w:spacing w:line="360" w:lineRule="auto"/>
        <w:jc w:val="both"/>
        <w:rPr>
          <w:color w:val="000000"/>
          <w:lang w:val="es-AR" w:eastAsia="es-AR" w:bidi="es-AR"/>
        </w:rPr>
      </w:pPr>
      <w:r>
        <w:rPr>
          <w:color w:val="000000"/>
          <w:lang w:val="es-AR" w:eastAsia="es-AR" w:bidi="es-AR"/>
        </w:rPr>
        <w:t xml:space="preserve"> 	Finalmente, destaca que la resolución penal remitía sustancialmente la controversia al ámbito civil y comercial, por lo que considera contradictorio que el juez competente en esa materia haya tomado luego aquella desestimación como fundamento para decidir precisamente las cuestiones que el fuero penal no había resuelto. </w:t>
      </w:r>
    </w:p>
    <w:p>
      <w:pPr>
        <w:pStyle w:val="[Normal]"/>
        <w:spacing w:line="360" w:lineRule="auto"/>
        <w:jc w:val="both"/>
        <w:rPr>
          <w:color w:val="000000"/>
          <w:lang w:val="es-AR" w:eastAsia="es-AR" w:bidi="es-AR"/>
        </w:rPr>
      </w:pPr>
      <w:r>
        <w:rPr>
          <w:color w:val="000000"/>
          <w:lang w:val="es-AR" w:eastAsia="es-AR" w:bidi="es-AR"/>
        </w:rPr>
        <w:t xml:space="preserve"> 	A su turno, la parte demandada solicita que el recurso sea declarado desierto por incumplimiento de la carga prevista en el art. 260 del CPCC. Sostiene que el memorial no contiene una crítica concreta y razonada de los fundamentos de la sentencia, sino que reproduce y amplía el relato de la demanda, introduce argumentos no formulados oportunamente y exterioriza una mera discrepancia con la valoración efectuada en la instancia anterior. En particular, afirma que el apelante no demuestra qué prueba habría sido omitida o incorrectamente ponderada ni de qué manera ello habría incidido sobre el resultado del litigio.</w:t>
      </w:r>
    </w:p>
    <w:p>
      <w:pPr>
        <w:pStyle w:val="[Normal]"/>
        <w:spacing w:line="360" w:lineRule="auto"/>
        <w:jc w:val="both"/>
        <w:rPr>
          <w:color w:val="000000"/>
          <w:lang w:val="es-AR" w:eastAsia="es-AR" w:bidi="es-AR"/>
        </w:rPr>
      </w:pPr>
      <w:r>
        <w:rPr>
          <w:color w:val="000000"/>
          <w:lang w:val="es-AR" w:eastAsia="es-AR" w:bidi="es-AR"/>
        </w:rPr>
        <w:t xml:space="preserve"> 	Subsidiariamente, defiende el criterio del a quo respecto de los instrumentos públicos cuestionados. Señala que el principio iura novit curia permite al juez modificar la calificación jurídica de los hechos, pero no suplir una pretensión o un procedimiento específico que la parte omitió promover. Desde esa perspectiva, entiende que la redargución de falsedad no podía ser introducida oficiosamente, pues posee cargas y efectos procesales propios, y agrega que tampoco se produjo prueba suficiente para destruir la plena fe de las escrituras. </w:t>
      </w:r>
    </w:p>
    <w:p>
      <w:pPr>
        <w:pStyle w:val="[Normal]"/>
        <w:spacing w:line="360" w:lineRule="auto"/>
        <w:jc w:val="both"/>
        <w:rPr>
          <w:color w:val="000000"/>
          <w:lang w:val="es-AR" w:eastAsia="es-AR" w:bidi="es-AR"/>
        </w:rPr>
      </w:pPr>
      <w:r>
        <w:rPr>
          <w:color w:val="000000"/>
          <w:lang w:val="es-AR" w:eastAsia="es-AR" w:bidi="es-AR"/>
        </w:rPr>
        <w:t xml:space="preserve"> 	En cuanto a la operatoria negocial, la contestación sostiene que el recurso no logra desvirtuar la conclusión según la cual Gilich celebró voluntariamente el boleto de compraventa y otorgó el poder especial de venta, ni acredita los vicios de voluntad, simulación o fraude invocados.  	 </w:t>
        <w:br w:type="textWrapping"/>
      </w:r>
      <w:r>
        <w:rPr>
          <w:color w:val="000000"/>
          <w:lang w:val="es-AR" w:eastAsia="es-AR" w:bidi="es-AR"/>
        </w:rPr>
        <w:t xml:space="preserve"> 	Defiende asimismo la aplicación de la doctrina de los actos propios y la validez de la compra en comisión, señalando que Giordano no habría actuado en interés propio sino por cuenta de la compradora, mientras que Santiago Mazzieri se habría limitado a ejercer las facultades conferidas mediante el poder. Para los recurridos, el apelante intenta reconstruir en Alzada una versión de los hechos distinta de la planteada y probada en primera instancia.</w:t>
      </w:r>
    </w:p>
    <w:p>
      <w:pPr>
        <w:pStyle w:val="[Normal]"/>
        <w:spacing w:line="360" w:lineRule="auto"/>
        <w:jc w:val="both"/>
        <w:rPr>
          <w:color w:val="000000"/>
          <w:lang w:val="es-AR" w:eastAsia="es-AR" w:bidi="es-AR"/>
        </w:rPr>
      </w:pPr>
      <w:r>
        <w:rPr>
          <w:color w:val="000000"/>
          <w:lang w:val="es-AR" w:eastAsia="es-AR" w:bidi="es-AR"/>
        </w:rPr>
        <w:t xml:space="preserve"> 	Respecto del pago y del precio de la operación, los demandados sostienen que la sentencia ponderó correctamente las constancias instrumentales y el resto del material probatorio, sin que las declaraciones invocadas por la actora permitan demostrar que el precio no hubiese sido abonado o que la operación fuera simulada. Del mismo modo, rechazan que el precio pueda calificarse como vil sobre la base de las comparaciones efectuadas en el memorial y aducen que no se acreditaron los presupuestos de lesión ni un aprovechamiento jurídicamente relevante de la situación personal del actor.  </w:t>
      </w:r>
    </w:p>
    <w:p>
      <w:pPr>
        <w:pStyle w:val="[Normal]"/>
        <w:spacing w:line="360" w:lineRule="auto"/>
        <w:jc w:val="both"/>
        <w:rPr>
          <w:color w:val="000000"/>
          <w:lang w:val="es-AR" w:eastAsia="es-AR" w:bidi="es-AR"/>
        </w:rPr>
      </w:pPr>
      <w:r>
        <w:rPr>
          <w:color w:val="000000"/>
          <w:lang w:val="es-AR" w:eastAsia="es-AR" w:bidi="es-AR"/>
        </w:rPr>
        <w:t xml:space="preserve"> 	Por último, la parte demandada defiende la consideración realizada en la sentencia de las actuaciones penales, aclarando que no se les habría atribuido efecto de cosa juzgada sino valor como un elemento probatorio más dentro del conjunto de la causa. En síntesis, sostiene que ninguno de los agravios demuestra error de hecho o de derecho susceptible de modificar lo decidido y solicita, subsidiariamente a la declaración de deserción, la confirmación íntegra de la sentencia que rechazó la demanda, con costas de Alzada a la actora.	</w:t>
        <w:br w:type="textWrapping"/>
      </w:r>
      <w:r>
        <w:rPr>
          <w:color w:val="000000"/>
          <w:lang w:val="es-AR" w:eastAsia="es-AR" w:bidi="es-AR"/>
        </w:rPr>
        <w:t xml:space="preserve"> 	La cuestión litigiosa sometida a revisión consiste en determinar si la sentencia de primera instancia valoró correctamente los hechos y la prueba producida al rechazar la pretensión de nulidad, simulación, lesión, fraude y daños promovida por Jorge Gilich respecto de la operación instrumentada mediante el boleto de compraventa de fecha 2/05/2019, el poder especial de venta y escrituración otorgado en favor de Santiago Mazzieri y la posterior escritura traslativa de dominio celebrada en favor de Laura Mazzieri. En particular, corresponde examinar si dichos actos exteriorizaron una voluntad libre, válida y eficaz del actor o si, por el contrario, estuvieron afectados por engaño, abuso de confianza, conflicto de intereses o aprovechamiento de su situación personal, como sostiene el apelante.</w:t>
      </w:r>
    </w:p>
    <w:p>
      <w:pPr>
        <w:pStyle w:val="[Normal]"/>
        <w:spacing w:line="360" w:lineRule="auto"/>
        <w:jc w:val="both"/>
        <w:rPr>
          <w:color w:val="000000"/>
          <w:lang w:val="es-AR" w:eastAsia="es-AR" w:bidi="es-AR"/>
        </w:rPr>
      </w:pPr>
      <w:r>
        <w:rPr>
          <w:color w:val="000000"/>
          <w:lang w:val="es-AR" w:eastAsia="es-AR" w:bidi="es-AR"/>
        </w:rPr>
        <w:t xml:space="preserve">  	Asimismo, no habiendo sido objeto de recurso por los demandados el rechazo de las excepciones de prescripción y falta de legitimación pasiva decidido en la sentencia de grado, tales aspectos han quedado firmes y consentidos y, por consiguiente, resultan ajenos al ámbito de conocimiento de esta Alzada, cuya jurisdicción revisora queda circunscripta a los agravios introducidos por la parte actora contra el rechazo de la pretensión sustancial deducida.</w:t>
      </w:r>
    </w:p>
    <w:p>
      <w:pPr>
        <w:pStyle w:val="[Normal]"/>
        <w:spacing w:line="360" w:lineRule="auto"/>
        <w:jc w:val="both"/>
        <w:rPr>
          <w:color w:val="000000"/>
          <w:lang w:val="es-AR" w:eastAsia="es-AR" w:bidi="es-AR"/>
        </w:rPr>
      </w:pPr>
      <w:r>
        <w:rPr>
          <w:color w:val="000000"/>
          <w:lang w:val="es-AR" w:eastAsia="es-AR" w:bidi="es-AR"/>
        </w:rPr>
        <w:t xml:space="preserve"> 	Metodológicamente, corresponde seguir un orden expositivo que permita examinar, en primer término, los presupuestos jurídicos que condicionan la eficacia de los actos cuestionados -alcance del principio iura novit curia, valor probatorio de los instrumentos públicos y doctrina de los actos propios- y, seguidamente, confrontarlos con las circunstancias concretas de la operatoria, en particular la intervención de Giordano, la formación y eventual vicio de la voluntad del actor, el pago y entidad del precio y la incidencia de las actuaciones penales. Sólo a partir de esa valoración conjunta, podrá establecerse si la sentencia apelada se ajustó a las constancias de la causa y al derecho aplicable o si los agravios revelan errores con entidad suficiente para justificar su modificación.</w:t>
      </w:r>
    </w:p>
    <w:p>
      <w:pPr>
        <w:pStyle w:val="[Normal]"/>
        <w:spacing w:line="360" w:lineRule="auto"/>
        <w:jc w:val="both"/>
        <w:rPr>
          <w:color w:val="000000"/>
          <w:lang w:val="es-AR" w:eastAsia="es-AR" w:bidi="es-AR"/>
        </w:rPr>
      </w:pPr>
      <w:r>
        <w:rPr>
          <w:color w:val="000000"/>
          <w:lang w:val="es-AR" w:eastAsia="es-AR" w:bidi="es-AR"/>
        </w:rPr>
        <w:t xml:space="preserve"> 	Antes de ingresar al tratamiento de los agravios corresponde expedirse sobre la solicitud de apertura a prueba formulada por la actora en el apartado IV de su memorial. Concretamente, requiere que se reciba declaración testimonial a Marcelo y Carlos Advínculo y se cite a absolver posiciones a Santiago Mazzieri respecto de una supuesta manifestación que éste habría efectuado el 29/9/2025, al salir de la audiencia de vista de causa, en el sentido de no haber llevado ni entregado dinero a Gilich y expresando “hay que pagarle a este hombre”. Asimismo, solicita que se requiera a distintos organismos la localización y remisión del dispositivo electrónico o “pen drive” incorporado a la IPP n° 12-01-000480-21, que contendría conversaciones de WhatsApp entre Gilich y Giordano, y el acceso al sistema de gestión de aquella investigación penal.</w:t>
      </w:r>
    </w:p>
    <w:p>
      <w:pPr>
        <w:pStyle w:val="[Normal]"/>
        <w:spacing w:line="360" w:lineRule="auto"/>
        <w:jc w:val="both"/>
        <w:rPr>
          <w:color w:val="000000"/>
          <w:lang w:val="es-AR" w:eastAsia="es-AR" w:bidi="es-AR"/>
        </w:rPr>
      </w:pPr>
      <w:r>
        <w:rPr>
          <w:color w:val="000000"/>
          <w:lang w:val="es-AR" w:eastAsia="es-AR" w:bidi="es-AR"/>
        </w:rPr>
        <w:t xml:space="preserve"> 	La petición no puede prosperar. La apertura a prueba en segunda instancia reviste carácter excepcional y los supuestos previstos por el art. 255 del CPCC no constituyen una oportunidad para reeditar o completar la actividad probatoria que pudo desarrollarse ante el juez de origen. </w:t>
      </w:r>
    </w:p>
    <w:p>
      <w:pPr>
        <w:pStyle w:val="[Normal]"/>
        <w:spacing w:line="360" w:lineRule="auto"/>
        <w:ind w:firstLine="1134"/>
        <w:jc w:val="both"/>
        <w:rPr>
          <w:color w:val="000000"/>
          <w:lang w:val="es-AR" w:eastAsia="es-AR" w:bidi="es-AR"/>
        </w:rPr>
      </w:pPr>
      <w:r>
        <w:rPr>
          <w:lang w:val="es-AR" w:eastAsia="es-AR" w:bidi="es-AR"/>
        </w:rPr>
        <w:t xml:space="preserve">Así es que se ha sostenido que ...</w:t>
      </w:r>
      <w:r>
        <w:rPr>
          <w:i/>
          <w:lang w:val="es-AR" w:eastAsia="es-AR" w:bidi="es-AR"/>
        </w:rPr>
        <w:t xml:space="preserve">"La apertura a prueba del juicio en segunda instancia tiene carácter de excepción, pues las situaciones que autoriza dicha apertura son expresadas por la ley de modo taxativo y dentro de las hipótesis planteadas, la procedencia de la medida debe encararse en principio, con criterio estricto, a fin de no habilitar el nacimiento de una segunda instancia. Esto se debe, a que la facultad de replantear en la Alzada prueba no es una vía destinada a subsanar la indolencia en su producción oportuna, sino un medio indirecto de revisar la justicia de la decisión, dada su inapelabilidad, posibilitando su producción en caso de resultar injusta aquella declaración" </w:t>
      </w:r>
      <w:r>
        <w:rPr>
          <w:lang w:val="es-AR" w:eastAsia="es-AR" w:bidi="es-AR"/>
        </w:rPr>
        <w:t xml:space="preserve">(CC0001 SM 55499 RSI-61-9 I  1-4-2009, Juez SANCHEZ PONS -JUBA B1952362-).- 	</w:t>
      </w:r>
      <w:r>
        <w:rPr>
          <w:color w:val="000000"/>
          <w:lang w:val="es-AR" w:eastAsia="es-AR" w:bidi="es-AR"/>
        </w:rPr>
        <w:br w:type="textWrapping"/>
      </w:r>
      <w:r>
        <w:rPr>
          <w:color w:val="000000"/>
          <w:lang w:val="es-AR" w:eastAsia="es-AR" w:bidi="es-AR"/>
        </w:rPr>
        <w:t xml:space="preserve"> 	En cuanto a la manifestación atribuida a Santiago Mazzieri, corresponde efectuar una precisión respecto de su encuadre procesal. El apelante sostiene haber tomado conocimiento del episodio el 29/9/2025 y lo presenta como hecho nuevo a los fines previstos por el art. 255 inc. 5 ap. a) del CPCC. Dicha norma habilita la apertura a prueba en Alzada cuando se alegare un hecho nuevo posterior a la oportunidad contemplada por el art. 363 del mismo ordenamiento, de modo que la procedencia del planteo no depende, sin más, de que al tiempo del hecho aún no hubiese concluido materialmente el período probatorio de primera instancia. Con todo, aun admitiendo a los fines del análisis que el episodio invocado pudiera encuadrar temporalmente en aquel supuesto, ello no determina por sí solo la necesidad de abrir la causa a prueba, pues corresponde además apreciar la pertinencia y aptitud del hecho propuesto respecto de las cuestiones sometidas a decisión.</w:t>
      </w:r>
    </w:p>
    <w:p>
      <w:pPr>
        <w:pStyle w:val="[Normal]"/>
        <w:spacing w:line="360" w:lineRule="auto"/>
        <w:jc w:val="both"/>
        <w:rPr>
          <w:color w:val="000000"/>
          <w:lang w:val="es-AR" w:eastAsia="es-AR" w:bidi="es-AR"/>
        </w:rPr>
      </w:pPr>
      <w:r>
        <w:rPr>
          <w:color w:val="000000"/>
          <w:lang w:val="es-AR" w:eastAsia="es-AR" w:bidi="es-AR"/>
        </w:rPr>
        <w:t xml:space="preserve"> 	Bajo ese prisma, la circunstancia cuya acreditación se pretende tampoco exhibe la eficacia decisiva que el recurrente le atribuye. Según el memorial, Mazzieri habría manifestado que no llevó ni entregó personalmente dinero a Gilich y habría añadido que </w:t>
      </w:r>
      <w:r>
        <w:rPr>
          <w:i/>
          <w:color w:val="000000"/>
          <w:lang w:val="es-AR" w:eastAsia="es-AR" w:bidi="es-AR"/>
        </w:rPr>
        <w:t xml:space="preserve">“hay que pagarle a este hombre”</w:t>
      </w:r>
      <w:r>
        <w:rPr>
          <w:color w:val="000000"/>
          <w:lang w:val="es-AR" w:eastAsia="es-AR" w:bidi="es-AR"/>
        </w:rPr>
        <w:t xml:space="preserve">. La primera afirmación no resulta necesariamente incompatible con la constancia escrituraria, pues ésta no documenta que Mazzieri hubiera efectuado personalmente la entrega material del precio, sino la manifestación de que éste había sido satisfecho con anterioridad. Y la expresión restante, aun de ser acreditada en los términos relatados, carece por sí sola de la precisión necesaria para tener por reconocido el hecho jurídico que el apelante procura demostrar -esto es, que el precio convenido nunca fue abonado por la compradora ni por persona alguna-, desde que no se conoce el contexto en que habría sido pronunciada ni permite establecer inequívocamente si importó una admisión sobre el cumplimiento histórico de aquella obligación o una apreciación distinta formulada con posterioridad. En esas condiciones, la prueba ofrecida no aparece indispensable para resolver el recurso ni justifica, por su sola eventual utilidad, la apertura excepcional de la causa en esta instancia. 	</w:t>
        <w:br w:type="textWrapping"/>
      </w:r>
      <w:r>
        <w:rPr>
          <w:color w:val="000000"/>
          <w:lang w:val="es-AR" w:eastAsia="es-AR" w:bidi="es-AR"/>
        </w:rPr>
        <w:t xml:space="preserve"> 	A ello se añade que la medida requerida respecto de la supuesta manifestación extrajudicial de Mazzieri no aparece indispensable para decidir el recurso. Como habrá de examinarse al tratar específicamente la percepción del precio, que aquél no hubiese llevado o entregado personalmente dinero a Gilich no conduce necesariamente a demostrar que el precio reconocido en la escritura no hubiera sido satisfecho por otra vía o persona. Por consiguiente, aun considerada en los términos propuestos por el apelante, la circunstancia sobre la cual pretende producir prueba no exhibe una aptitud decisiva que justifique excepcionalmente reabrir en esta instancia la actividad probatoria ya clausurada.</w:t>
      </w:r>
    </w:p>
    <w:p>
      <w:pPr>
        <w:pStyle w:val="[Normal]"/>
        <w:spacing w:line="360" w:lineRule="auto"/>
        <w:jc w:val="both"/>
        <w:rPr>
          <w:color w:val="000000"/>
          <w:lang w:val="es-AR" w:eastAsia="es-AR" w:bidi="es-AR"/>
        </w:rPr>
      </w:pPr>
      <w:r>
        <w:rPr>
          <w:color w:val="000000"/>
          <w:lang w:val="es-AR" w:eastAsia="es-AR" w:bidi="es-AR"/>
        </w:rPr>
        <w:t xml:space="preserve"> 	Por tales razones, corresponde rechazar la solicitud de apertura a prueba en segunda instancia, tanto respecto de las declaraciones testimoniales y absolución de posiciones requeridas con relación al episodio del 29/9/2025 como en lo concerniente a la localización y remisión del dispositivo electrónico y demás medidas solicitadas respecto de la IPP n° 12-01-000480-21, sin perjuicio de valorar, al resolver los agravios, las constancias de dicha causa penal que hayan sido regularmente incorporadas al presente proceso (arts. 255 y concs. CPCC).</w:t>
      </w:r>
    </w:p>
    <w:p>
      <w:pPr>
        <w:pStyle w:val="[Normal]"/>
        <w:spacing w:line="360" w:lineRule="auto"/>
        <w:jc w:val="both"/>
        <w:rPr>
          <w:color w:val="000000"/>
          <w:lang w:val="es-AR" w:eastAsia="es-AR" w:bidi="es-AR"/>
        </w:rPr>
      </w:pPr>
      <w:r>
        <w:rPr>
          <w:color w:val="000000"/>
          <w:lang w:val="es-AR" w:eastAsia="es-AR" w:bidi="es-AR"/>
        </w:rPr>
        <w:t xml:space="preserve"> 	Como cuestión preliminar, corresponde desestimar el pedido de deserción del recurso formulado por los demandados con sustento en los arts. 260 y 261 del CPCC. Si bien la expresión de agravios presenta un desarrollo extenso y, por momentos, reiterativo de argumentos ya introducidos en la instancia de origen, de su lectura es posible individualizar con suficiente claridad los aspectos concretos del pronunciamiento que el apelante considera equivocados y las razones por las cuales procura su modificación. En particular, cuestiona el tratamiento conferido a la impugnación de los instrumentos públicos, la aplicación de la doctrina de los actos propios, la valoración de la intervención de Giordano como comprador en comisión, la prueba relativa al pago y entidad del precio y el alcance asignado a las actuaciones penales; extremos que guardan relación directa con los fundamentos empleados para rechazar la demanda.</w:t>
      </w:r>
    </w:p>
    <w:p>
      <w:pPr>
        <w:pStyle w:val="[Normal]"/>
        <w:spacing w:line="360" w:lineRule="auto"/>
        <w:jc w:val="both"/>
        <w:rPr>
          <w:color w:val="000000"/>
          <w:lang w:val="es-AR" w:eastAsia="es-AR" w:bidi="es-AR"/>
        </w:rPr>
      </w:pPr>
      <w:r>
        <w:rPr>
          <w:color w:val="000000"/>
          <w:lang w:val="es-AR" w:eastAsia="es-AR" w:bidi="es-AR"/>
        </w:rPr>
        <w:t xml:space="preserve"> 	Sobre dicha base, y atendiendo al criterio restrictivo con que debe apreciarse la sanción de deserción cuando el memorial permite conocer cuál es la crítica dirigida contra la decisión y posibilita su adecuada contradicción -como efectivamente ocurrió mediante la extensa contestación presentada por los recurridos-, considero satisfecho el umbral exigido por el art. 260 del CPCC. Corresponde, por tanto, rechazar el planteo de deserción formulado en la contestación de agravios e ingresar al tratamiento sustancial de las cuestiones sometidas a revisión.</w:t>
      </w:r>
    </w:p>
    <w:p>
      <w:pPr>
        <w:pStyle w:val="[Normal]"/>
        <w:spacing w:line="360" w:lineRule="auto"/>
        <w:jc w:val="both"/>
        <w:rPr>
          <w:color w:val="000000"/>
          <w:lang w:val="es-AR" w:eastAsia="es-AR" w:bidi="es-AR"/>
        </w:rPr>
      </w:pPr>
      <w:r>
        <w:rPr>
          <w:color w:val="000000"/>
          <w:lang w:val="es-AR" w:eastAsia="es-AR" w:bidi="es-AR"/>
        </w:rPr>
        <w:t xml:space="preserve"> 	I. En lo que concierne al primer agravio, adelanto que el mismo no habrá de prosperar, aunque considero necesario efectuar algunas precisiones respecto del fundamento empleado en la instancia anterior.</w:t>
      </w:r>
    </w:p>
    <w:p>
      <w:pPr>
        <w:pStyle w:val="[Normal]"/>
        <w:spacing w:line="360" w:lineRule="auto"/>
        <w:jc w:val="both"/>
        <w:rPr>
          <w:color w:val="000000"/>
          <w:lang w:val="es-AR" w:eastAsia="es-AR" w:bidi="es-AR"/>
        </w:rPr>
      </w:pPr>
      <w:r>
        <w:rPr>
          <w:color w:val="000000"/>
          <w:lang w:val="es-AR" w:eastAsia="es-AR" w:bidi="es-AR"/>
        </w:rPr>
        <w:t xml:space="preserve"> 	El apelante centra su crítica en que el juez de grado habría atribuido carácter dirimente a la circunstancia de no haberse promovido formalmente la redargución de falsedad respecto de los instrumentos públicos cuestionados, cuando -según sostiene- desde el escrito inicial había denunciado suficientemente la falsedad ideológica de sus constancias y correspondía al magistrado, en virtud del principio iura novit curia, otorgar a tales hechos el encuadre jurídico pertinente. </w:t>
      </w:r>
    </w:p>
    <w:p>
      <w:pPr>
        <w:pStyle w:val="[Normal]"/>
        <w:spacing w:line="360" w:lineRule="auto"/>
        <w:jc w:val="both"/>
        <w:rPr>
          <w:color w:val="000000"/>
          <w:lang w:val="es-AR" w:eastAsia="es-AR" w:bidi="es-AR"/>
        </w:rPr>
      </w:pPr>
      <w:r>
        <w:rPr>
          <w:color w:val="000000"/>
          <w:lang w:val="es-AR" w:eastAsia="es-AR" w:bidi="es-AR"/>
        </w:rPr>
        <w:t xml:space="preserve"> 	En efecto, en la demanda se afirmó que el boleto de compraventa del 2/5/2019 establecía que el saldo de $1.200.000 correspondiente a Gilich sería abonado</w:t>
      </w:r>
      <w:r>
        <w:rPr>
          <w:i/>
          <w:color w:val="000000"/>
          <w:lang w:val="es-AR" w:eastAsia="es-AR" w:bidi="es-AR"/>
        </w:rPr>
        <w:t xml:space="preserve"> “a la firma de la pertinente escritura”</w:t>
      </w:r>
      <w:r>
        <w:rPr>
          <w:color w:val="000000"/>
          <w:lang w:val="es-AR" w:eastAsia="es-AR" w:bidi="es-AR"/>
        </w:rPr>
        <w:t xml:space="preserve"> y se contrapuso esa estipulación con la posterior escritura N° 50, de fecha 16/7/2020, en cuyo punto Segundo, apartado II, se consignó que el precio total de $2.400.000 </w:t>
      </w:r>
      <w:r>
        <w:rPr>
          <w:i/>
          <w:color w:val="000000"/>
          <w:lang w:val="es-AR" w:eastAsia="es-AR" w:bidi="es-AR"/>
        </w:rPr>
        <w:t xml:space="preserve">“fue abonado antes de este acto en su totalidad por el comprador”</w:t>
      </w:r>
      <w:r>
        <w:rPr>
          <w:color w:val="000000"/>
          <w:lang w:val="es-AR" w:eastAsia="es-AR" w:bidi="es-AR"/>
        </w:rPr>
        <w:t xml:space="preserve">, otorgándose suficiente recibo. Sobre esa base, el actor sostuvo desde el inicio que no había percibido aquel saldo y calificó de falsa la constancia instrumentada.</w:t>
      </w:r>
    </w:p>
    <w:p>
      <w:pPr>
        <w:pStyle w:val="[Normal]"/>
        <w:spacing w:line="360" w:lineRule="auto"/>
        <w:jc w:val="both"/>
        <w:rPr>
          <w:color w:val="000000"/>
          <w:lang w:val="es-AR" w:eastAsia="es-AR" w:bidi="es-AR"/>
        </w:rPr>
      </w:pPr>
      <w:r>
        <w:rPr>
          <w:color w:val="000000"/>
          <w:lang w:val="es-AR" w:eastAsia="es-AR" w:bidi="es-AR"/>
        </w:rPr>
        <w:t xml:space="preserve"> 	Ahora bien, la circunstancia de que tales hechos hayan sido introducidos oportunamente no conduce a compartir la consecuencia jurídica que pretende extraer el recurrente. El principio iura novit curia habilita al juzgador a determinar el derecho aplicable con independencia de la calificación propuesta por las partes, pero no permite suplir indiscriminadamente las cargas procesales vinculadas con la eficacia de los medios probatorios ni alterar las condiciones bajo las cuales la ley reconoce fuerza probatoria a los instrumentos públicos. En tal sentido, el argumento recursivo parte de equiparar la calificación jurídica de los hechos con la impugnación de la eficacia probatoria de un instrumento, cuestiones que operan en planos diferentes. La propia expresión de agravios reconoce que las escrituras no fueron redargüidas de falsas, aunque postula que el juez debió reconducir oficiosamente la pretensión por aplicación del citado principio.</w:t>
      </w:r>
    </w:p>
    <w:p>
      <w:pPr>
        <w:pStyle w:val="[Normal]"/>
        <w:spacing w:line="360" w:lineRule="auto"/>
        <w:jc w:val="both"/>
        <w:rPr>
          <w:color w:val="000000"/>
          <w:lang w:val="es-AR" w:eastAsia="es-AR" w:bidi="es-AR"/>
        </w:rPr>
      </w:pPr>
      <w:r>
        <w:rPr>
          <w:color w:val="000000"/>
          <w:lang w:val="es-AR" w:eastAsia="es-AR" w:bidi="es-AR"/>
        </w:rPr>
        <w:t xml:space="preserve"> 	Sin perjuicio de ello, tampoco comparto que la falta de redargución pueda atribuir, sin mayores distinciones, plena fe a todo cuanto aparece consignado en la escritura. En el caso interesa especialmente advertir que la escritura N° 50 no documenta -según la propia transcripción efectuada por el actor en la demanda- una entrega de dinero realizada ante la escribana, sino la manifestación de los otorgantes de que el precio había sido abonado con anterioridad al acto. La fórmula utilizada resulta suficientemente expresiva: </w:t>
      </w:r>
      <w:r>
        <w:rPr>
          <w:i/>
          <w:color w:val="000000"/>
          <w:lang w:val="es-AR" w:eastAsia="es-AR" w:bidi="es-AR"/>
        </w:rPr>
        <w:t xml:space="preserve">“las partes manifiestan”</w:t>
      </w:r>
      <w:r>
        <w:rPr>
          <w:color w:val="000000"/>
          <w:lang w:val="es-AR" w:eastAsia="es-AR" w:bidi="es-AR"/>
        </w:rPr>
        <w:t xml:space="preserve"> tener convenido el precio y que éste </w:t>
      </w:r>
      <w:r>
        <w:rPr>
          <w:i/>
          <w:color w:val="000000"/>
          <w:lang w:val="es-AR" w:eastAsia="es-AR" w:bidi="es-AR"/>
        </w:rPr>
        <w:t xml:space="preserve">“fue abonado antes de este acto”</w:t>
      </w:r>
      <w:r>
        <w:rPr>
          <w:color w:val="000000"/>
          <w:lang w:val="es-AR" w:eastAsia="es-AR" w:bidi="es-AR"/>
        </w:rPr>
        <w:t xml:space="preserve">. </w:t>
      </w:r>
    </w:p>
    <w:p>
      <w:pPr>
        <w:pStyle w:val="[Normal]"/>
        <w:spacing w:line="360" w:lineRule="auto"/>
        <w:jc w:val="both"/>
        <w:rPr>
          <w:color w:val="000000"/>
          <w:lang w:val="es-AR" w:eastAsia="es-AR" w:bidi="es-AR"/>
        </w:rPr>
      </w:pPr>
      <w:r>
        <w:rPr>
          <w:color w:val="000000"/>
          <w:lang w:val="es-AR" w:eastAsia="es-AR" w:bidi="es-AR"/>
        </w:rPr>
        <w:t xml:space="preserve"> 	Por consiguiente, la ausencia de redargución preserva la autenticidad del instrumento y de aquello ocurrido ante el oficial público, pero no transforma por sí misma la declaración de los otorgantes acerca de un hecho anterior -el efectivo pago- en un hecho materialmente comprobado por la escribana. En esa medida, la realidad del pago podía ser controvertida y demostrada mediante los restantes elementos de convicción incorporados a la causa.</w:t>
      </w:r>
    </w:p>
    <w:p>
      <w:pPr>
        <w:pStyle w:val="[Normal]"/>
        <w:spacing w:line="360" w:lineRule="auto"/>
        <w:jc w:val="both"/>
        <w:rPr>
          <w:color w:val="000000"/>
          <w:lang w:val="es-AR" w:eastAsia="es-AR" w:bidi="es-AR"/>
        </w:rPr>
      </w:pPr>
      <w:r>
        <w:rPr>
          <w:color w:val="000000"/>
          <w:lang w:val="es-AR" w:eastAsia="es-AR" w:bidi="es-AR"/>
        </w:rPr>
        <w:t xml:space="preserve"> 	Esta precisión, sin embargo, no determina la procedencia del agravio. Lo que permite es desplazar el análisis desde una pretendida falsedad del instrumento hacia la suficiencia de la prueba producida para demostrar que la declaración relativa al pago no se correspondía con la realidad. La propia demanda ofreció, a esos fines, las actuaciones de la IPP n° 12-01-000480-21, </w:t>
      </w:r>
      <w:r>
        <w:rPr>
          <w:i/>
          <w:color w:val="000000"/>
          <w:lang w:val="es-AR" w:eastAsia="es-AR" w:bidi="es-AR"/>
        </w:rPr>
        <w:t xml:space="preserve">“Giordano Cristian Alejandro s/ Estafa”</w:t>
      </w:r>
      <w:r>
        <w:rPr>
          <w:color w:val="000000"/>
          <w:lang w:val="es-AR" w:eastAsia="es-AR" w:bidi="es-AR"/>
        </w:rPr>
        <w:t xml:space="preserve">, tramitada ante la UFI n° 2 de Colón, incluyendo las declaraciones de Laura Mazzieri, Santiago Mazzieri y Hilda Zaninovich y la contestación de oficio de la escribana Ana Paula Talerico. Particularmente, el actor invoca que Santiago Mazzieri declaró allí que no conocía personalmente a Gilich y que no le había entregado dinero, circunstancia que considera incompatible con la constancia escrituraria.</w:t>
      </w:r>
    </w:p>
    <w:p>
      <w:pPr>
        <w:pStyle w:val="[Normal]"/>
        <w:spacing w:line="360" w:lineRule="auto"/>
        <w:jc w:val="both"/>
        <w:rPr>
          <w:color w:val="000000"/>
          <w:lang w:val="es-AR" w:eastAsia="es-AR" w:bidi="es-AR"/>
        </w:rPr>
      </w:pPr>
      <w:r>
        <w:rPr>
          <w:color w:val="000000"/>
          <w:lang w:val="es-AR" w:eastAsia="es-AR" w:bidi="es-AR"/>
        </w:rPr>
        <w:t xml:space="preserve"> 	Mas aun admitiendo esa premisa, la inferencia propuesta no resulta concluyente. Que Santiago Mazzieri no conociera personalmente a Gilich o no le hubiera entregado él mismo el dinero no demuestra, sin otro elemento corroborante, que el saldo nunca hubiera sido satisfecho por la compradora o por otra persona con anterioridad al otorgamiento de la escritura. </w:t>
      </w:r>
    </w:p>
    <w:p>
      <w:pPr>
        <w:pStyle w:val="[Normal]"/>
        <w:spacing w:line="360" w:lineRule="auto"/>
        <w:jc w:val="both"/>
        <w:rPr>
          <w:color w:val="000000"/>
          <w:lang w:val="es-AR" w:eastAsia="es-AR" w:bidi="es-AR"/>
        </w:rPr>
      </w:pPr>
      <w:r>
        <w:rPr>
          <w:color w:val="000000"/>
          <w:lang w:val="es-AR" w:eastAsia="es-AR" w:bidi="es-AR"/>
        </w:rPr>
        <w:t xml:space="preserve"> 	Antes bien, la contradicción que señala el apelante descansa en atribuir al instrumento un contenido que no surge de su texto: la escritura no expresa que Mazzieri haya entregado personalmente $1.200.000 a Gilich en presencia de la notaria, sino que el apoderado, actuando en representación del vendedor, manifestó que el precio se encontraba íntegramente abonado antes del acto. De allí que la circunstancia invocada pueda resultar pertinente para valorar la realidad económica de la operación, cuestión que será examinada al tratar los agravios específicamente dirigidos al pago del precio, pero no alcanza para demostrar la falsedad ideológica del instrumento ni un error judicial derivado de la falta de reconducción oficiosa de la pretensión.</w:t>
      </w:r>
    </w:p>
    <w:p>
      <w:pPr>
        <w:pStyle w:val="[Normal]"/>
        <w:spacing w:line="360" w:lineRule="auto"/>
        <w:jc w:val="both"/>
        <w:rPr>
          <w:color w:val="000000"/>
          <w:lang w:val="es-AR" w:eastAsia="es-AR" w:bidi="es-AR"/>
        </w:rPr>
      </w:pPr>
      <w:r>
        <w:rPr>
          <w:color w:val="000000"/>
          <w:lang w:val="es-AR" w:eastAsia="es-AR" w:bidi="es-AR"/>
        </w:rPr>
        <w:t xml:space="preserve"> 	En definitiva, aun cuando corresponda relativizar el alcance que el pronunciamiento apelado atribuyó a la falta de redargución, ello no conduce a la solución pretendida por el recurrente. El principio iura novit curia no imponía al juez transformar de oficio las acciones de nulidad, simulación, lesión y fraude efectivamente promovidas en una redargución de falsedad; y, al propio tiempo, la falta de esta última tampoco impedía al actor controvertir, mediante prueba idónea, la verdad de las declaraciones de los otorgantes relativas a hechos anteriores al acto notarial. La cuestión se reconduce así a un problema de suficiencia probatoria acerca de la efectiva percepción del precio, que habrá de ser examinado en su ámbito específico, sin que las razones desarrolladas en este primer agravio justifiquen, por sí mismas, modificar lo decidido (arts. 289, 296 y concs. CCyC; arts. 375, 384 y concs. CPCC).	</w:t>
        <w:br w:type="textWrapping"/>
      </w:r>
      <w:r>
        <w:rPr>
          <w:color w:val="000000"/>
          <w:lang w:val="es-AR" w:eastAsia="es-AR" w:bidi="es-AR"/>
        </w:rPr>
        <w:t xml:space="preserve">  	II.- En cuanto al segundo agravio, la actora sostiene que el sentenciante habría efectuado una valoración fragmentaria de la prueba al concluir que Gilich conoció y consintió la venta, prescindiendo del contexto que, según postula, demostraría que aquél creyó estar realizando actos vinculados con la liquidación de la sociedad conyugal y no disponiendo definitivamente de la totalidad del inmueble. Considero que la crítica tampoco puede prosperar.	</w:t>
        <w:br w:type="textWrapping"/>
      </w:r>
      <w:r>
        <w:rPr>
          <w:color w:val="000000"/>
          <w:lang w:val="es-AR" w:eastAsia="es-AR" w:bidi="es-AR"/>
        </w:rPr>
        <w:t xml:space="preserve"> 	Es cierto que el antecedente profesional invocado se encuentra acreditado. En los autos “Zaninovich, Hilda Elena c/ Gilich, Jorge s/ Liquidación de sociedad conyugal”, expte. 6812/2014 del Juzgado de Familia n° 1 departamental, Giordano patrocinó a Gilich respecto del conflicto que involucraba precisamente al inmueble aquí controvertido; y aquel proceso concluyó mediante resolución del 6/4/2017, que tuvo por desistida a la actora, declaró extinguido el proceso y ordenó su archivo. Tal circunstancia permite afirmar que Giordano conocía los antecedentes jurídicos y familiares del bien. </w:t>
      </w:r>
    </w:p>
    <w:p>
      <w:pPr>
        <w:pStyle w:val="[Normal]"/>
        <w:spacing w:line="360" w:lineRule="auto"/>
        <w:jc w:val="both"/>
        <w:rPr>
          <w:color w:val="000000"/>
          <w:lang w:val="es-AR" w:eastAsia="es-AR" w:bidi="es-AR"/>
        </w:rPr>
      </w:pPr>
      <w:r>
        <w:rPr>
          <w:color w:val="000000"/>
          <w:lang w:val="es-AR" w:eastAsia="es-AR" w:bidi="es-AR"/>
        </w:rPr>
        <w:t xml:space="preserve"> 	Sin embargo, entre aquella conclusión y el boleto cuestionado, celebrado el 2/5/2019, transcurrieron más de dos años, sin que las constancias disponibles demuestren la subsistencia de una relación profesional entre ambos durante ese período ni, especialmente, que Giordano hubiera presentado la posterior operación a Gilich como un acto exigido por aquel proceso ya finalizado. La afirmación de que el actor creyó estar cumpliendo una decisión judicial o simplemente entregando a su ex esposa la parte que le correspondía proviene sustancialmente de su propio relato, sin encontrar una corroboración externa suficientemente precisa.	</w:t>
        <w:br w:type="textWrapping"/>
      </w:r>
      <w:r>
        <w:rPr>
          <w:color w:val="000000"/>
          <w:lang w:val="es-AR" w:eastAsia="es-AR" w:bidi="es-AR"/>
        </w:rPr>
        <w:t xml:space="preserve"> 	Por el contrario, existen datos objetivos que dificultan esa hipótesis. El boleto del 2/5/2019 fue suscripto no sólo por Gilich sino también por su ex cónyuge Hilda Zaninovich y tuvo por objeto la totalidad del inmueble; en la misma fecha se otorgó el poder especial e irrevocable destinado a concretar su escrituración. Particular relevancia adquiere aquí la declaración de Zaninovich incorporada desde la IPP n° 12-01-000480-21, “Giordano Cristian Alejandro s/ Estafa”, tramitada ante la UFI n° 2 de Colón, pues la nombrada reconoció la operación y manifestó haber percibido la suma correspondiente a su participación, indicando incluso que su abogado cobró el 20 % de lo recibido y que Giordano intervino en la distribución del dinero. El propio memorial reproduce aquella declaración al señalar que Zaninovich expresó: </w:t>
      </w:r>
      <w:r>
        <w:rPr>
          <w:i/>
          <w:color w:val="000000"/>
          <w:lang w:val="es-AR" w:eastAsia="es-AR" w:bidi="es-AR"/>
        </w:rPr>
        <w:t xml:space="preserve">“yo me llevé un millón justo, me lo llevé libre de todo”</w:t>
      </w:r>
      <w:r>
        <w:rPr>
          <w:color w:val="000000"/>
          <w:lang w:val="es-AR" w:eastAsia="es-AR" w:bidi="es-AR"/>
        </w:rPr>
        <w:t xml:space="preserve">, circunstancia difícilmente conciliable con la tesis de que los actos instrumentados sólo procuraban ejecutar formalmente una liquidación conyugal anterior y no una verdadera enajenación. La sentencia ponderó precisamente la intervención y percepción del precio por Zaninovich como elemento corroborante de la existencia del negocio.</w:t>
      </w:r>
    </w:p>
    <w:p>
      <w:pPr>
        <w:pStyle w:val="[Normal]"/>
        <w:spacing w:line="360" w:lineRule="auto"/>
        <w:jc w:val="both"/>
        <w:rPr>
          <w:color w:val="000000"/>
          <w:lang w:val="es-AR" w:eastAsia="es-AR" w:bidi="es-AR"/>
        </w:rPr>
      </w:pPr>
      <w:r>
        <w:rPr>
          <w:color w:val="000000"/>
          <w:lang w:val="es-AR" w:eastAsia="es-AR" w:bidi="es-AR"/>
        </w:rPr>
        <w:t xml:space="preserve"> 	Tampoco considero decisivo que Gilich no conociera previamente a Santiago Mazzieri. Esa circunstancia puede resultar singular y merece ser valorada dentro del conjunto, pero no demuestra por sí misma que el poderdante ignorase la naturaleza del acto que otorgaba. La explicación ofrecida por los demandados -que Santiago Mazzieri, sobrino de Laura Mazzieri, fue designado mandatario para instrumentar la transferencia— encuentra correspondencia objetiva con el poder especial otorgado y con la posterior escrituración. Distinta es la cuestión relativa a si Mazzieri cumplió correctamente el mandato o si el precio llegó efectivamente a manos del actor, aspectos que poseen autonomía y serán examinados al tratar los agravios específicamente dirigidos contra tales extremos.</w:t>
      </w:r>
    </w:p>
    <w:p>
      <w:pPr>
        <w:pStyle w:val="[Normal]"/>
        <w:spacing w:line="360" w:lineRule="auto"/>
        <w:jc w:val="both"/>
        <w:rPr>
          <w:color w:val="000000"/>
          <w:lang w:val="es-AR" w:eastAsia="es-AR" w:bidi="es-AR"/>
        </w:rPr>
      </w:pPr>
      <w:r>
        <w:rPr>
          <w:color w:val="000000"/>
          <w:lang w:val="es-AR" w:eastAsia="es-AR" w:bidi="es-AR"/>
        </w:rPr>
        <w:t xml:space="preserve"> 	La pericia psicológica presentada el 10/11/2025 por la Lic. María Teresa Pérez Delbene tampoco proporciona el enlace probatorio que falta. Si bien registra que Gilich tenía entonces 84 años y escolaridad primaria incompleta -hasta cuarto grado-, tales circunstancias no autorizan por sí mismas a presumir una deficiente comprensión de los actos celebrados seis años antes. Antes bien, durante la entrevista el peritado se presentó orientado en tiempo y espacio, colaborador, con comunicación clara y coherente, y la evaluación da cuenta de autonomía e independencia personal. Naturalmente, esas conclusiones obtenidas en 2025 tampoco permiten afirmar retrospectivamente cuál fue su representación subjetiva en mayo de 2019; pero precisamente por ello la pericia carece de aptitud para demostrar que al suscribir el boleto y el poder no comprendiera que estaba interviniendo en una operación de venta.	</w:t>
        <w:br w:type="textWrapping"/>
      </w:r>
      <w:r>
        <w:rPr>
          <w:color w:val="000000"/>
          <w:lang w:val="es-AR" w:eastAsia="es-AR" w:bidi="es-AR"/>
        </w:rPr>
        <w:t xml:space="preserve"> 	En definitiva, la concatenación señalada por el apelante -anterior patrocinio de Giordano, conocimiento del inmueble, posterior compra en comisión, otorgamiento de poder a una persona desconocida por Gilich y transferencia final a Laura Mazzieri- constituye un conjunto de circunstancias que justificaba un examen particularmente cuidadoso de la operación, pero no alcanza, aun valorado globalmente, para acreditar el hecho específico sobre el cual descansa este agravio: que el consentimiento exteriorizado por Gilich hubiera sido obtenido mediante engaño o bajo la creencia de estar realizando un acto diferente. Entre aquellas circunstancias objetivas y esa conclusión subsiste un tramo inferencial que la prueba producida no permite tener por cubierto con el grado de convicción necesario. Por ello, sin perjuicio del análisis particular que corresponda efectuar respecto de la actuación de Giordano, del pago del precio y de los restantes aspectos cuestionados, propongo desestimar esta parcela del recurso (arts. 260, 375 y 384 CPCC).</w:t>
      </w:r>
    </w:p>
    <w:p>
      <w:pPr>
        <w:pStyle w:val="[Normal]"/>
        <w:spacing w:line="360" w:lineRule="auto"/>
        <w:jc w:val="both"/>
        <w:rPr>
          <w:color w:val="000000"/>
          <w:lang w:val="es-AR" w:eastAsia="es-AR" w:bidi="es-AR"/>
        </w:rPr>
      </w:pPr>
      <w:r>
        <w:rPr>
          <w:color w:val="000000"/>
          <w:lang w:val="es-AR" w:eastAsia="es-AR" w:bidi="es-AR"/>
        </w:rPr>
        <w:t xml:space="preserve"> 	III.- El tercer agravio tampoco habrá de prosperar. 	</w:t>
        <w:br w:type="textWrapping"/>
      </w:r>
      <w:r>
        <w:rPr>
          <w:color w:val="000000"/>
          <w:lang w:val="es-AR" w:eastAsia="es-AR" w:bidi="es-AR"/>
        </w:rPr>
        <w:t xml:space="preserve"> 	Ahora bien, la cuestión no puede ser simplemente examinada como si, frente a la mera afirmación de Gilich de no haber percibido el precio, correspondiera exigirle la prueba de ese hecho negativo. En principio, acreditada una obligación y controvertido su cumplimiento, incumbe a quien invoca el pago demostrar el hecho extintivo (art. 375 del CPCCBA). </w:t>
      </w:r>
    </w:p>
    <w:p>
      <w:pPr>
        <w:pStyle w:val="[Normal]"/>
        <w:spacing w:line="360" w:lineRule="auto"/>
        <w:jc w:val="both"/>
        <w:rPr>
          <w:color w:val="000000"/>
          <w:lang w:val="es-AR" w:eastAsia="es-AR" w:bidi="es-AR"/>
        </w:rPr>
      </w:pPr>
      <w:r>
        <w:rPr>
          <w:color w:val="000000"/>
          <w:lang w:val="es-AR" w:eastAsia="es-AR" w:bidi="es-AR"/>
        </w:rPr>
        <w:t xml:space="preserve"> 	Sin embargo, la situación configurada en autos presenta una particularidad sustancial: existe una declaración documentada, emanada de la propia parte vendedora a través de la representación conferida, por la cual se reconoció expresamente que el precio total de la operación había sido satisfecho.</w:t>
      </w:r>
    </w:p>
    <w:p>
      <w:pPr>
        <w:pStyle w:val="[Normal]"/>
        <w:spacing w:line="360" w:lineRule="auto"/>
        <w:jc w:val="both"/>
        <w:rPr>
          <w:color w:val="000000"/>
          <w:lang w:val="es-AR" w:eastAsia="es-AR" w:bidi="es-AR"/>
        </w:rPr>
      </w:pPr>
      <w:r>
        <w:rPr>
          <w:color w:val="000000"/>
          <w:lang w:val="es-AR" w:eastAsia="es-AR" w:bidi="es-AR"/>
        </w:rPr>
        <w:t xml:space="preserve"> 	En efecto, el boleto de compraventa del 2/5/2019 había establecido que el saldo de $1.200.000 correspondiente a Jorge Gilich sería abonado por el comprador al momento de otorgarse la pertinente escritura. Posteriormente, en la escritura traslativa de dominio n.º 50 -Folio 140, actuaciones notariales GAA 026412800/802- que se acompaña como archivo adjunto al escrito de demanda de fecha 21/11/23, Santiago Mazzieri compareció en representación de los vendedores en virtud del poder especial otorgado y Laura Mazzieri como adquirente, dejándose expresamente consignado respecto del precio total de $2.400.000 que éste “</w:t>
      </w:r>
      <w:r>
        <w:rPr>
          <w:i/>
          <w:color w:val="000000"/>
          <w:lang w:val="es-AR" w:eastAsia="es-AR" w:bidi="es-AR"/>
        </w:rPr>
        <w:t xml:space="preserve">fue abonado antes de este acto en su totalidad por el comprador”</w:t>
      </w:r>
      <w:r>
        <w:rPr>
          <w:color w:val="000000"/>
          <w:lang w:val="es-AR" w:eastAsia="es-AR" w:bidi="es-AR"/>
        </w:rPr>
        <w:t xml:space="preserve">, ratificándose suficiente recibo y manifestándose que nada quedaba por reclamar por encontrarse satisfecho el precio convenido. La declaración, por tanto, no aparece circunscripta al importe correspondiente a Hilda Zaninovich, sino referida al precio total de la compraventa y, consiguientemente, a la prestación debida a la parte vendedora en su conjunto.	</w:t>
        <w:br w:type="textWrapping"/>
      </w:r>
      <w:r>
        <w:rPr>
          <w:color w:val="000000"/>
          <w:lang w:val="es-AR" w:eastAsia="es-AR" w:bidi="es-AR"/>
        </w:rPr>
        <w:t xml:space="preserve"> 	Es cierto, conforme se señaló al abordar el primer agravio, que tal manifestación no equivale a un hecho material cumplido en presencia de la escribana: el propio instrumento expresa que el pago había ocurrido </w:t>
      </w:r>
      <w:r>
        <w:rPr>
          <w:i/>
          <w:color w:val="000000"/>
          <w:lang w:val="es-AR" w:eastAsia="es-AR" w:bidi="es-AR"/>
        </w:rPr>
        <w:t xml:space="preserve">“antes de este acto”</w:t>
      </w:r>
      <w:r>
        <w:rPr>
          <w:color w:val="000000"/>
          <w:lang w:val="es-AR" w:eastAsia="es-AR" w:bidi="es-AR"/>
        </w:rPr>
        <w:t xml:space="preserve">. De allí que su realidad material pudiera ser controvertida mediante prueba en contrario. Pero una cuestión es admitir esa posibilidad y otra prescindir del valor probatorio de una declaración de pago incorporada al negocio y efectuada por quien actuaba en representación de los vendedores conforme al poder especial otorgado. Existiendo ese reconocimiento, no se trata ya de exigir a Gilich la demostración abstracta de que </w:t>
      </w:r>
      <w:r>
        <w:rPr>
          <w:i/>
          <w:color w:val="000000"/>
          <w:lang w:val="es-AR" w:eastAsia="es-AR" w:bidi="es-AR"/>
        </w:rPr>
        <w:t xml:space="preserve">“no recibió”</w:t>
      </w:r>
      <w:r>
        <w:rPr>
          <w:color w:val="000000"/>
          <w:lang w:val="es-AR" w:eastAsia="es-AR" w:bidi="es-AR"/>
        </w:rPr>
        <w:t xml:space="preserve"> dinero alguno, sino de determinar si produjo prueba suficientemente consistente para desvirtuar el hecho anteriormente reconocido y, sobre todo, para acreditar los presupuestos de la simulación, fraude, lesión y nulidad sobre los cuales estructuró su pretensión.</w:t>
      </w:r>
    </w:p>
    <w:p>
      <w:pPr>
        <w:pStyle w:val="[Normal]"/>
        <w:spacing w:line="360" w:lineRule="auto"/>
        <w:jc w:val="both"/>
        <w:rPr>
          <w:color w:val="000000"/>
          <w:lang w:val="es-AR" w:eastAsia="es-AR" w:bidi="es-AR"/>
        </w:rPr>
      </w:pPr>
      <w:r>
        <w:rPr>
          <w:color w:val="000000"/>
          <w:lang w:val="es-AR" w:eastAsia="es-AR" w:bidi="es-AR"/>
        </w:rPr>
        <w:t xml:space="preserve"> 	Desde esta perspectiva debe ponderarse la declaración de Santiago Mazzieri prestada en la IPP n.º 12-01-000480-21, </w:t>
      </w:r>
      <w:r>
        <w:rPr>
          <w:i/>
          <w:color w:val="000000"/>
          <w:lang w:val="es-AR" w:eastAsia="es-AR" w:bidi="es-AR"/>
        </w:rPr>
        <w:t xml:space="preserve">“Giordano Cristian Alejandro s/ Estafa”</w:t>
      </w:r>
      <w:r>
        <w:rPr>
          <w:color w:val="000000"/>
          <w:lang w:val="es-AR" w:eastAsia="es-AR" w:bidi="es-AR"/>
        </w:rPr>
        <w:t xml:space="preserve">, invocada especialmente por el apelante. Que Mazzieri haya manifestado no conocer personalmente a Gilich y no haberle entregado él mismo el dinero debilita cualquier intento de presentar su testimonio como prueba directa de la entrega material del saldo, pero no contradice necesariamente el contenido de la escritura: ésta no afirma que Mazzieri hubiese pagado personalmente a Gilich ni que el dinero hubiese sido entregado ante la escribana, sino que documenta el reconocimiento de que el precio total había sido satisfecho con anterioridad. Por ello, entre ambas constancias no existe la contradicción concluyente que el recurrente pretende establecer.</w:t>
      </w:r>
    </w:p>
    <w:p>
      <w:pPr>
        <w:pStyle w:val="[Normal]"/>
        <w:spacing w:line="360" w:lineRule="auto"/>
        <w:jc w:val="both"/>
        <w:rPr>
          <w:color w:val="000000"/>
          <w:lang w:val="es-AR" w:eastAsia="es-AR" w:bidi="es-AR"/>
        </w:rPr>
      </w:pPr>
      <w:r>
        <w:rPr>
          <w:color w:val="000000"/>
          <w:lang w:val="es-AR" w:eastAsia="es-AR" w:bidi="es-AR"/>
        </w:rPr>
        <w:t xml:space="preserve"> 	A ello se suma un dato independiente que, aunque no demuestra específicamente la percepción de los $1.200.000 por Gilich, corrobora la realidad económica de la operación: Hilda Zaninovich reconoció en la misma causa penal haber percibido el importe correspondiente a su participación, llegando a precisar la suma que recibió y los descuentos practicados. Esa circunstancia no autoriza a presumir sin más que Gilich también cobró -y no corresponde otorgarle ese alcance-, pero sí resulta incompatible con la hipótesis más amplia de una compraventa puramente aparente, carente de desplazamiento económico entre sus intervinientes.</w:t>
      </w:r>
    </w:p>
    <w:p>
      <w:pPr>
        <w:pStyle w:val="[Normal]"/>
        <w:spacing w:line="360" w:lineRule="auto"/>
        <w:jc w:val="both"/>
        <w:rPr>
          <w:color w:val="000000"/>
          <w:lang w:val="es-AR" w:eastAsia="es-AR" w:bidi="es-AR"/>
        </w:rPr>
      </w:pPr>
      <w:r>
        <w:rPr>
          <w:color w:val="000000"/>
          <w:lang w:val="es-AR" w:eastAsia="es-AR" w:bidi="es-AR"/>
        </w:rPr>
        <w:t xml:space="preserve"> 	En tales condiciones, las singularidades señaladas por el recurrente permiten formular interrogantes acerca de la modalidad concreta en que se instrumentó y ejecutó el negocio, pero no alcanzan para privar de eficacia convictiva al reconocimiento del pago total contenido en la escritura ni, menos aún, para tener por acreditado que esa declaración integró una maniobra simulada o fraudulenta. Al respecto, el Código Civil y Comercial atribuye al reconocimiento eficacia jurídica propia como manifestación destinada a admitir la existencia de una obligación (arts. 894, 895, 896 CCyC), mientras que el pago constituye el cumplimiento de la prestación debida (art. 865 CCyC). En el caso, la declaración incorporada a la escritura, según la cual el precio total había sido abonado con anterioridad y nada quedaba por reclamar por ese concepto, importa una manifestación expresa acerca de la extinción de la obligación de pagar el precio.</w:t>
      </w:r>
    </w:p>
    <w:p>
      <w:pPr>
        <w:pStyle w:val="[Normal]"/>
        <w:spacing w:line="360" w:lineRule="auto"/>
        <w:jc w:val="both"/>
        <w:rPr>
          <w:color w:val="000000"/>
          <w:lang w:val="es-AR" w:eastAsia="es-AR" w:bidi="es-AR"/>
        </w:rPr>
      </w:pPr>
      <w:r>
        <w:rPr>
          <w:color w:val="000000"/>
          <w:lang w:val="es-AR" w:eastAsia="es-AR" w:bidi="es-AR"/>
        </w:rPr>
        <w:t xml:space="preserve"> 	No se trata, entonces, de hacer recaer sobre el actor la prueba imposible de un hecho negativo, sino de exigir a quien pretende desconocer una declaración negocial precedente y derivar de su alegada falsedad consecuencias invalidantes y resarcitorias, la producción de elementos suficientemente graves, precisos y concordantes para demostrar los presupuestos fácticos de su pretensión. Tales elementos no aparecen configurados con la entidad necesaria en la especie.</w:t>
      </w:r>
    </w:p>
    <w:p>
      <w:pPr>
        <w:pStyle w:val="[Normal]"/>
        <w:spacing w:line="360" w:lineRule="auto"/>
        <w:jc w:val="both"/>
        <w:rPr>
          <w:color w:val="000000"/>
          <w:lang w:val="es-AR" w:eastAsia="es-AR" w:bidi="es-AR"/>
        </w:rPr>
      </w:pPr>
      <w:r>
        <w:rPr>
          <w:color w:val="000000"/>
          <w:lang w:val="es-AR" w:eastAsia="es-AR" w:bidi="es-AR"/>
        </w:rPr>
        <w:t xml:space="preserve"> 	Por ello, aun cuando la declaración notarial acerca del pago anterior admite prueba en contrario y no se encuentra revestida, en cuanto a su verdad material, de la plena fe correspondiente a los hechos cumplidos ante el oficial público, la prueba invocada por el apelante no alcanza a desvirtuar suficientemente el reconocimiento documentado ni a demostrar que el precio correspondiente a Gilich permaneciera impago. Corresponde, en consecuencia, desestimar este segmento de la crítica (arts. 375 y 384 CPCC; arts. 296 y concs. CCyC).</w:t>
      </w:r>
    </w:p>
    <w:p>
      <w:pPr>
        <w:pStyle w:val="[Normal]"/>
        <w:spacing w:line="360" w:lineRule="auto"/>
        <w:jc w:val="both"/>
        <w:rPr>
          <w:color w:val="000000"/>
          <w:lang w:val="es-AR" w:eastAsia="es-AR" w:bidi="es-AR"/>
        </w:rPr>
      </w:pPr>
      <w:r>
        <w:rPr>
          <w:color w:val="000000"/>
          <w:lang w:val="es-AR" w:eastAsia="es-AR" w:bidi="es-AR"/>
        </w:rPr>
        <w:t xml:space="preserve"> 	IV.- Tampoco encuentro atendible el agravio referido a la actuación profesional de Giordano y al supuesto conflicto de intereses. </w:t>
      </w:r>
    </w:p>
    <w:p>
      <w:pPr>
        <w:pStyle w:val="[Normal]"/>
        <w:spacing w:line="360" w:lineRule="auto"/>
        <w:jc w:val="both"/>
        <w:rPr>
          <w:color w:val="000000"/>
          <w:lang w:val="es-AR" w:eastAsia="es-AR" w:bidi="es-AR"/>
        </w:rPr>
      </w:pPr>
      <w:r>
        <w:rPr>
          <w:color w:val="000000"/>
          <w:lang w:val="es-AR" w:eastAsia="es-AR" w:bidi="es-AR"/>
        </w:rPr>
        <w:t xml:space="preserve"> 	No se discute que éste patrocinó anteriormente a Gilich en los autos </w:t>
      </w:r>
      <w:r>
        <w:rPr>
          <w:i/>
          <w:color w:val="000000"/>
          <w:lang w:val="es-AR" w:eastAsia="es-AR" w:bidi="es-AR"/>
        </w:rPr>
        <w:t xml:space="preserve">“Zaninovich, Hilda Elena c/ Gilich, Jorge s/ Liquidación de sociedad conyugal”</w:t>
      </w:r>
      <w:r>
        <w:rPr>
          <w:color w:val="000000"/>
          <w:lang w:val="es-AR" w:eastAsia="es-AR" w:bidi="es-AR"/>
        </w:rPr>
        <w:t xml:space="preserve">, expte. 6812/2014, ni que aquel proceso versaba sobre el mismo inmueble posteriormente enajenado. </w:t>
      </w:r>
    </w:p>
    <w:p>
      <w:pPr>
        <w:pStyle w:val="[Normal]"/>
        <w:spacing w:line="360" w:lineRule="auto"/>
        <w:jc w:val="both"/>
        <w:rPr>
          <w:color w:val="000000"/>
          <w:lang w:val="es-AR" w:eastAsia="es-AR" w:bidi="es-AR"/>
        </w:rPr>
      </w:pPr>
      <w:r>
        <w:rPr>
          <w:color w:val="000000"/>
          <w:lang w:val="es-AR" w:eastAsia="es-AR" w:bidi="es-AR"/>
        </w:rPr>
        <w:t xml:space="preserve"> 	También se encuentra documentado que dicho proceso concluyó el 6/4/2017, al tenerse por desistida a la allí actora, declararse extinguido el proceso y ordenarse su archivo, mientras que la operación aquí cuestionada tuvo lugar recién el 2/5/2019. El propio memorial reconoce ese intervalo temporal al señalar que la compra en comisión ocurrió años después de los últimos movimientos de aquella causa.</w:t>
      </w:r>
    </w:p>
    <w:p>
      <w:pPr>
        <w:pStyle w:val="[Normal]"/>
        <w:spacing w:line="360" w:lineRule="auto"/>
        <w:jc w:val="both"/>
        <w:rPr>
          <w:color w:val="000000"/>
          <w:lang w:val="es-AR" w:eastAsia="es-AR" w:bidi="es-AR"/>
        </w:rPr>
      </w:pPr>
      <w:r>
        <w:rPr>
          <w:color w:val="000000"/>
          <w:lang w:val="es-AR" w:eastAsia="es-AR" w:bidi="es-AR"/>
        </w:rPr>
        <w:t xml:space="preserve"> 	Ese dato resulta relevante para establecer el alcance de la inhabilidad invocada. El art. 1002 inc. c) del CCyC impide a abogados y procuradores contratar </w:t>
      </w:r>
      <w:r>
        <w:rPr>
          <w:i/>
          <w:color w:val="000000"/>
          <w:lang w:val="es-AR" w:eastAsia="es-AR" w:bidi="es-AR"/>
        </w:rPr>
        <w:t xml:space="preserve">“en interés propio</w:t>
      </w:r>
      <w:r>
        <w:rPr>
          <w:color w:val="000000"/>
          <w:lang w:val="es-AR" w:eastAsia="es-AR" w:bidi="es-AR"/>
        </w:rPr>
        <w:t xml:space="preserve">” respecto de bienes litigiosos en procesos en los que intervienen o han intervenido. Sin embargo, no corresponde derivar del anterior patrocinio una prohibición indefinida para toda intervención posterior del profesional en cualquier negocio relacionado con el bien que alguna vez constituyó objeto del litigio. Una inteligencia semejante convertiría una inhabilidad especial, fundada en la prevención del conflicto de intereses, en una virtual indisponibilidad permanente del bien respecto del antiguo profesional, aun después de extinguida la relación procesal. En el caso, además del lapso transcurrido desde la finalización del proceso de familia, no se ha individualizado una actuación profesional concreta de Giordano en favor de Gilich subsistente al tiempo de celebrarse la compraventa.</w:t>
      </w:r>
    </w:p>
    <w:p>
      <w:pPr>
        <w:pStyle w:val="[Normal]"/>
        <w:spacing w:line="360" w:lineRule="auto"/>
        <w:jc w:val="both"/>
        <w:rPr>
          <w:color w:val="000000"/>
          <w:lang w:val="es-AR" w:eastAsia="es-AR" w:bidi="es-AR"/>
        </w:rPr>
      </w:pPr>
      <w:r>
        <w:rPr>
          <w:color w:val="000000"/>
          <w:lang w:val="es-AR" w:eastAsia="es-AR" w:bidi="es-AR"/>
        </w:rPr>
        <w:t xml:space="preserve"> 	Pero existe todavía una razón más específica. La prohibición legal exige que el abogado contrate </w:t>
      </w:r>
      <w:r>
        <w:rPr>
          <w:i/>
          <w:color w:val="000000"/>
          <w:lang w:val="es-AR" w:eastAsia="es-AR" w:bidi="es-AR"/>
        </w:rPr>
        <w:t xml:space="preserve">“en interés propio”</w:t>
      </w:r>
      <w:r>
        <w:rPr>
          <w:color w:val="000000"/>
          <w:lang w:val="es-AR" w:eastAsia="es-AR" w:bidi="es-AR"/>
        </w:rPr>
        <w:t xml:space="preserve">, mientras que el boleto del 2/5/2019 -cuya autenticidad fue expresamente reconocida por los demandados- identifica a Giordano como comprador </w:t>
      </w:r>
      <w:r>
        <w:rPr>
          <w:i/>
          <w:color w:val="000000"/>
          <w:lang w:val="es-AR" w:eastAsia="es-AR" w:bidi="es-AR"/>
        </w:rPr>
        <w:t xml:space="preserve">“en comisión”</w:t>
      </w:r>
      <w:r>
        <w:rPr>
          <w:color w:val="000000"/>
          <w:lang w:val="es-AR" w:eastAsia="es-AR" w:bidi="es-AR"/>
        </w:rPr>
        <w:t xml:space="preserve">. La explicación defensiva ha sido constante en señalar que actuó por cuenta e interés de Laura Mazzieri, quien posteriormente asumió la posición de adquirente, y que su intervención respondió al encargo de ésta para concretar la operación dentro del precio que estaba dispuesta a pagar. Esa versión encuentra correspondencia objetiva en la secuencia documental posterior, pues la escritura n° 50 instrumentó finalmente la adquisición del inmueble por Laura Mazzieri. La sola circunstancia de que Giordano mantuviera una relación profesional o laboral con la empresa vinculada a los Mazzieri -hecho expresamente invocado por Gilich desde la demanda- no transforma, sin prueba adicional, el interés de su comitente en un interés patrimonial propio del profesional.</w:t>
      </w:r>
    </w:p>
    <w:p>
      <w:pPr>
        <w:pStyle w:val="[Normal]"/>
        <w:spacing w:line="360" w:lineRule="auto"/>
        <w:jc w:val="both"/>
        <w:rPr>
          <w:color w:val="000000"/>
          <w:lang w:val="es-AR" w:eastAsia="es-AR" w:bidi="es-AR"/>
        </w:rPr>
      </w:pPr>
      <w:r>
        <w:rPr>
          <w:color w:val="000000"/>
          <w:lang w:val="es-AR" w:eastAsia="es-AR" w:bidi="es-AR"/>
        </w:rPr>
        <w:t xml:space="preserve"> 	La actora procura cubrir ese extremo afirmando que Giordano habría retenido los $1.200.000 correspondientes a Gilich y recibido además una retribución por la gestión del negocio. Sin embargo, la primera afirmación depende precisamente de la premisa -ya examinada al tratar el agravio precedente- de que el saldo no fue percibido por Gilich y quedó en poder de Giordano, circunstancia que no aparece suficientemente demostrada. La segunda tampoco cuenta con una constatación probatoria concreta que permita identificar un beneficio patrimonial derivado de la adquisición del inmueble. El memorial invoca asimismo la declaración de Hilda Zaninovich en la causa penal, según la cual Giordano habría distribuido el dinero correspondiente a su parte y entregado una suma a su abogado; pero ese dato, aun tenido por cierto, describe la intervención de Giordano en la distribución del precio y el pago de honorarios al letrado de Zaninovich, no demuestra que aquél adquiriese directa o indirectamente el inmueble para sí.</w:t>
      </w:r>
    </w:p>
    <w:p>
      <w:pPr>
        <w:pStyle w:val="[Normal]"/>
        <w:spacing w:line="360" w:lineRule="auto"/>
        <w:jc w:val="both"/>
        <w:rPr>
          <w:color w:val="000000"/>
          <w:lang w:val="es-AR" w:eastAsia="es-AR" w:bidi="es-AR"/>
        </w:rPr>
      </w:pPr>
      <w:r>
        <w:rPr>
          <w:color w:val="000000"/>
          <w:lang w:val="es-AR" w:eastAsia="es-AR" w:bidi="es-AR"/>
        </w:rPr>
        <w:t xml:space="preserve"> 	No desconozco que la reunión de tales circunstancias -el conocimiento previo del inmueble y de su situación jurídica, la anterior relación profesional con Gilich, la compra en comisión y la vinculación de Giordano con los adquirentes finales- justificaba examinar la operación con particular atención. Pero su valoración conjunta tampoco permite prescindir del presupuesto específico exigido por la norma invocada: el interés propio. Para transformar aquellos vínculos en prueba de una actuación simulada o fraudulenta era necesario demostrar que la comisión declarada encubría, en realidad, una adquisición o beneficio patrimonial de Giordano, o que éste utilizó concretamente información o ascendencia proveniente de la anterior relación profesional para obtener la disposición del inmueble. Ninguno de esos extremos surge acreditado con suficiente entidad de las constancias individualizadas por el apelante.</w:t>
      </w:r>
    </w:p>
    <w:p>
      <w:pPr>
        <w:pStyle w:val="[Normal]"/>
        <w:spacing w:line="360" w:lineRule="auto"/>
        <w:jc w:val="both"/>
        <w:rPr>
          <w:color w:val="000000"/>
          <w:lang w:val="es-AR" w:eastAsia="es-AR" w:bidi="es-AR"/>
        </w:rPr>
      </w:pPr>
      <w:r>
        <w:rPr>
          <w:color w:val="000000"/>
          <w:lang w:val="es-AR" w:eastAsia="es-AR" w:bidi="es-AR"/>
        </w:rPr>
        <w:t xml:space="preserve"> 	En consecuencia, la anterior intervención profesional de Giordano constituye un antecedente relevante para contextualizar el negocio, pero no basta para configurar por sí misma la inhabilidad prevista en el art. 1002 inc. c) del CCyC ni para demostrar el conflicto de intereses, simulación o fraude postulados. La distancia temporal respecto de la finalización del proceso de familia, la ausencia de prueba sobre la subsistencia del patrocinio al momento de la operación y, fundamentalmente, la falta de acreditación de un interés patrimonial propio de Giordano impiden atribuir a aquellas circunstancias el efecto invalidante pretendido. Por ello, propongo desestimar también este agravio (arts. 375 y 384 CPCC; art. 1002 inc. c, CCyC).</w:t>
      </w:r>
    </w:p>
    <w:p>
      <w:pPr>
        <w:pStyle w:val="[Normal]"/>
        <w:spacing w:line="360" w:lineRule="auto"/>
        <w:jc w:val="both"/>
        <w:rPr>
          <w:color w:val="000000"/>
          <w:lang w:val="es-AR" w:eastAsia="es-AR" w:bidi="es-AR"/>
        </w:rPr>
      </w:pPr>
      <w:r>
        <w:rPr>
          <w:color w:val="000000"/>
          <w:lang w:val="es-AR" w:eastAsia="es-AR" w:bidi="es-AR"/>
        </w:rPr>
        <w:t xml:space="preserve"> 	V.- El quinto agravio tampoco habrá de prosperar. </w:t>
      </w:r>
    </w:p>
    <w:p>
      <w:pPr>
        <w:pStyle w:val="[Normal]"/>
        <w:spacing w:line="360" w:lineRule="auto"/>
        <w:jc w:val="both"/>
        <w:rPr>
          <w:color w:val="000000"/>
          <w:lang w:val="es-AR" w:eastAsia="es-AR" w:bidi="es-AR"/>
        </w:rPr>
      </w:pPr>
      <w:r>
        <w:rPr>
          <w:color w:val="000000"/>
          <w:lang w:val="es-AR" w:eastAsia="es-AR" w:bidi="es-AR"/>
        </w:rPr>
        <w:t xml:space="preserve"> 	Para abordar adecuadamente la crítica conviene distinguir dos planos que el recurrente presenta estrechamente vinculados: la eventual desproporción económica de las prestaciones y la situación personal de Gilich que habría permitido a los demandados aprovecharse de aquélla. Tal distinción resulta relevante porque, aun cuando pudiera verificarse cierta diferencia entre el precio convenido y el valor de mercado del inmueble, ello no basta por sí solo para configurar la lesión prevista por el art. 332 del CCyC, que requiere además que una de las partes, explotando la necesidad, debilidad psíquica o inexperiencia de la otra, obtenga una ventaja patrimonial evidentemente desproporcionada y sin justificación.</w:t>
      </w:r>
    </w:p>
    <w:p>
      <w:pPr>
        <w:pStyle w:val="[Normal]"/>
        <w:spacing w:line="360" w:lineRule="auto"/>
        <w:jc w:val="both"/>
        <w:rPr>
          <w:color w:val="000000"/>
          <w:lang w:val="es-AR" w:eastAsia="es-AR" w:bidi="es-AR"/>
        </w:rPr>
      </w:pPr>
      <w:r>
        <w:rPr>
          <w:color w:val="000000"/>
          <w:lang w:val="es-AR" w:eastAsia="es-AR" w:bidi="es-AR"/>
        </w:rPr>
        <w:t xml:space="preserve"> 	En cuanto al primer aspecto, se encuentra acreditado que el boleto del 2/5/2019 fijó el precio total del inmueble en $2.400.000. La sentencia ponderó que, según la cotización de la moneda estadounidense que tomó como referencia ($45,80), dicha suma representaba aproximadamente U$S 52.401 y consideró que no podía calificársela como precio vil, especialmente porque Gilich permanecería ocupando el inmueble hasta que decidiera dejarlo. El apelante contrapone a ello una tasación privada que habría estimado el inmueble en U$S 110.000 y destaca sus características -aproximadamente dos hectáreas y media, vivienda, galpones y boxes para caballos-, cuestionando además que se hubiera utilizado la valuación fiscal como parámetro de razonabilidad del precio.</w:t>
      </w:r>
    </w:p>
    <w:p>
      <w:pPr>
        <w:pStyle w:val="[Normal]"/>
        <w:spacing w:line="360" w:lineRule="auto"/>
        <w:jc w:val="both"/>
        <w:rPr>
          <w:color w:val="000000"/>
          <w:lang w:val="es-AR" w:eastAsia="es-AR" w:bidi="es-AR"/>
        </w:rPr>
      </w:pPr>
      <w:r>
        <w:rPr>
          <w:color w:val="000000"/>
          <w:lang w:val="es-AR" w:eastAsia="es-AR" w:bidi="es-AR"/>
        </w:rPr>
        <w:t xml:space="preserve"> 	La crítica acierta en un aspecto: la valuación fiscal no constituye, por su propia naturaleza, un parámetro suficiente para establecer el valor real de mercado de un inmueble y, por ende, su sola comparación con el precio pactado no permitiría descartar una eventual desproporción. Sin embargo, aun tomando como referencia la estimación de U$S 110.000 invocada por el actor, la diferencia resultante no puede apreciarse aisladamente de las condiciones concretas del negocio. </w:t>
      </w:r>
    </w:p>
    <w:p>
      <w:pPr>
        <w:pStyle w:val="[Normal]"/>
        <w:spacing w:line="360" w:lineRule="auto"/>
        <w:jc w:val="both"/>
        <w:rPr>
          <w:color w:val="000000"/>
          <w:lang w:val="es-AR" w:eastAsia="es-AR" w:bidi="es-AR"/>
        </w:rPr>
      </w:pPr>
      <w:r>
        <w:rPr>
          <w:color w:val="000000"/>
          <w:lang w:val="es-AR" w:eastAsia="es-AR" w:bidi="es-AR"/>
        </w:rPr>
        <w:t xml:space="preserve"> 	La adquisición no importó para la compradora la disponibilidad inmediata del inmueble, pues Gilich permaneció en él y continuó utilizándolo como vivienda y lugar de desarrollo de sus actividades, circunstancia que la sentencia tuvo especialmente en consideración. La propia defensa destacó que esa ocupación se prolongaría por un tiempo incierto y que tal indisponibilidad había incidido en la determinación del precio. </w:t>
      </w:r>
    </w:p>
    <w:p>
      <w:pPr>
        <w:pStyle w:val="[Normal]"/>
        <w:spacing w:line="360" w:lineRule="auto"/>
        <w:jc w:val="both"/>
        <w:rPr>
          <w:color w:val="000000"/>
          <w:lang w:val="es-AR" w:eastAsia="es-AR" w:bidi="es-AR"/>
        </w:rPr>
      </w:pPr>
      <w:r>
        <w:rPr>
          <w:color w:val="000000"/>
          <w:lang w:val="es-AR" w:eastAsia="es-AR" w:bidi="es-AR"/>
        </w:rPr>
        <w:t xml:space="preserve"> 	Debe añadirse que la incidencia atribuida a la permanencia de Gilich en el inmueble no importa asignarle, sin respaldo pericial, una determinada magnitud económica ni sustituir mediante una estimación judicial la prueba del valor del bien. Su relevancia es más acotada: pone de manifiesto que la comparación entre el precio pactado y una tasación referida al valor de mercado del inmueble no puede efectuarse de modo puramente aritmético y prescindiendo de las condiciones concretas en que la operación fue celebrada y ejecutada. En particular, la circunstancia de que el actor continuara ocupando el predio y desarrollando allí su actividad constituye una modalidad singular del negocio que, aun cuando no permita cuantificar por sí sola una reducción determinada del precio, impide considerar demostrada, únicamente a partir de aquella diferencia nominal, una desproporción de las prestaciones con la entidad y significación jurídica que exige el art. 332 del CCyC.</w:t>
      </w:r>
    </w:p>
    <w:p>
      <w:pPr>
        <w:pStyle w:val="[Normal]"/>
        <w:spacing w:line="360" w:lineRule="auto"/>
        <w:jc w:val="both"/>
        <w:rPr>
          <w:color w:val="000000"/>
          <w:lang w:val="es-AR" w:eastAsia="es-AR" w:bidi="es-AR"/>
        </w:rPr>
      </w:pPr>
      <w:r>
        <w:rPr>
          <w:color w:val="000000"/>
          <w:lang w:val="es-AR" w:eastAsia="es-AR" w:bidi="es-AR"/>
        </w:rPr>
        <w:t xml:space="preserve"> 	De manera que, sin necesidad de aceptar las estimaciones económicas efectuadas unilateralmente por los demandados, ese condicionamiento posee aptitud objetiva para incidir sobre el valor económico de la operación y torna insuficiente la mera comparación aritmética entre el precio nominal y una tasación correspondiente a un inmueble susceptible de disponibilidad plena e inmediata.</w:t>
      </w:r>
    </w:p>
    <w:p>
      <w:pPr>
        <w:pStyle w:val="[Normal]"/>
        <w:spacing w:line="360" w:lineRule="auto"/>
        <w:jc w:val="both"/>
        <w:rPr>
          <w:color w:val="000000"/>
          <w:lang w:val="es-AR" w:eastAsia="es-AR" w:bidi="es-AR"/>
        </w:rPr>
      </w:pPr>
      <w:r>
        <w:rPr>
          <w:color w:val="000000"/>
          <w:lang w:val="es-AR" w:eastAsia="es-AR" w:bidi="es-AR"/>
        </w:rPr>
        <w:t xml:space="preserve"> 	Pero es fundamentalmente el segundo presupuesto de la lesión el que no encuentro demostrado. La edad avanzada de Gilich y su reducida escolaridad constituyen circunstancias personales que debían ser consideradas, pero no permiten presumir por sí mismas necesidad, debilidad psíquica o inexperiencia jurídicamente relevantes ni, menos aún, el aprovechamiento de tales condiciones por la contraparte. La pericia psicológica presentada el 10/11/2025 por la Lic. María Teresa Pérez Delbene informa que Gilich tenía entonces 84 años y escolaridad primaria incompleta -cuarto grado-, pero también lo describe aseado, orientado en tiempo y espacio, colaborador, reflexivo, con comunicación clara y coherente, y sin indicadores psicopatológicos evidentes; asimismo, su historia vital da cuenta de autonomía, independencia y continuidad de sus actividades. De hecho, la propia impugnación formulada por los demandados contra aquella pericia destaca que el actor continuaba viviendo solo, manteniendo vínculos sociales, administrando el predio y desarrollando actividades económicamente productivas.</w:t>
      </w:r>
    </w:p>
    <w:p>
      <w:pPr>
        <w:pStyle w:val="[Normal]"/>
        <w:spacing w:line="360" w:lineRule="auto"/>
        <w:jc w:val="both"/>
        <w:rPr>
          <w:color w:val="000000"/>
          <w:lang w:val="es-AR" w:eastAsia="es-AR" w:bidi="es-AR"/>
        </w:rPr>
      </w:pPr>
      <w:r>
        <w:rPr>
          <w:color w:val="000000"/>
          <w:lang w:val="es-AR" w:eastAsia="es-AR" w:bidi="es-AR"/>
        </w:rPr>
        <w:t xml:space="preserve"> 	Naturalmente, tales circunstancias no excluyen que una persona autónoma pueda encontrarse en una situación concreta de vulnerabilidad negocial. Pero para que ello adquiera la eficacia invalidante pretendida era necesario demostrar que, al tiempo de contratar en mayo de 2019, Gilich atravesaba alguna de las situaciones contempladas por el art. 332 del CCyC y, sobre todo, que los demandados conocieron y explotaron esa condición para obtener la ventaja patrimonial denunciada. </w:t>
      </w:r>
    </w:p>
    <w:p>
      <w:pPr>
        <w:pStyle w:val="[Normal]"/>
        <w:spacing w:line="360" w:lineRule="auto"/>
        <w:jc w:val="both"/>
        <w:rPr>
          <w:color w:val="000000"/>
          <w:lang w:val="es-AR" w:eastAsia="es-AR" w:bidi="es-AR"/>
        </w:rPr>
      </w:pPr>
      <w:r>
        <w:rPr>
          <w:color w:val="000000"/>
          <w:lang w:val="es-AR" w:eastAsia="es-AR" w:bidi="es-AR"/>
        </w:rPr>
        <w:t xml:space="preserve"> 	Además, la prueba psicológica fue producida más de seis años después del negocio -ver informe pericial de fecha 10/11/2025- y no establece que al tiempo de su celebración el actor presentara una limitación en su comprensión o autodeterminación. Tampoco advierto otro elemento probatorio que permita inferir concretamente que la edad, escolaridad o relación previa con Giordano hubiesen sido utilizadas para imponerle el precio. La sentencia, aunque quizás con excesivo énfasis en la presunción de capacidad, señaló precisamente que no se había acreditado restricción alguna ni vicio de voluntad, engaño o error dolosamente provocado.</w:t>
      </w:r>
    </w:p>
    <w:p>
      <w:pPr>
        <w:pStyle w:val="[Normal]"/>
        <w:spacing w:line="360" w:lineRule="auto"/>
        <w:jc w:val="both"/>
        <w:rPr>
          <w:color w:val="000000"/>
          <w:lang w:val="es-AR" w:eastAsia="es-AR" w:bidi="es-AR"/>
        </w:rPr>
      </w:pPr>
      <w:r>
        <w:rPr>
          <w:color w:val="000000"/>
          <w:lang w:val="es-AR" w:eastAsia="es-AR" w:bidi="es-AR"/>
        </w:rPr>
        <w:t xml:space="preserve"> 	A ello se agrega que la propia estructura del negocio presenta elementos que impiden inferir el aprovechamiento exclusivamente de la magnitud del precio. Hilda Zaninovich participó de la operación como integrante de la parte vendedora, aceptó el precio y reconoció posteriormente en sede penal haber percibido la suma correspondiente a su participación. Este dato no neutraliza hipotéticamente una lesión sufrida por Gilich ni reemplaza el examen de su situación individual, pero constituye una circunstancia adicional que debilita la tesis de que el precio hubiera sido unilateralmente impuesto mediante explotación de una particular vulnerabilidad exclusiva del actor.</w:t>
      </w:r>
    </w:p>
    <w:p>
      <w:pPr>
        <w:pStyle w:val="[Normal]"/>
        <w:spacing w:line="360" w:lineRule="auto"/>
        <w:jc w:val="both"/>
        <w:rPr>
          <w:color w:val="000000"/>
          <w:lang w:val="es-AR" w:eastAsia="es-AR" w:bidi="es-AR"/>
        </w:rPr>
      </w:pPr>
      <w:r>
        <w:rPr>
          <w:color w:val="000000"/>
          <w:lang w:val="es-AR" w:eastAsia="es-AR" w:bidi="es-AR"/>
        </w:rPr>
        <w:t xml:space="preserve"> 	En definitiva, la edad, escolaridad, anterior relación profesional con Giordano, permanencia del actor en el inmueble y diferencia alegada entre precio y valor de mercado deben ser apreciadas conjuntamente, como reclama el apelante. Sin embargo, esa valoración integral no conduce a un resultado distinto. </w:t>
      </w:r>
    </w:p>
    <w:p>
      <w:pPr>
        <w:pStyle w:val="[Normal]"/>
        <w:spacing w:line="360" w:lineRule="auto"/>
        <w:jc w:val="both"/>
        <w:rPr>
          <w:color w:val="000000"/>
          <w:lang w:val="es-AR" w:eastAsia="es-AR" w:bidi="es-AR"/>
        </w:rPr>
      </w:pPr>
      <w:r>
        <w:rPr>
          <w:color w:val="000000"/>
          <w:lang w:val="es-AR" w:eastAsia="es-AR" w:bidi="es-AR"/>
        </w:rPr>
        <w:t xml:space="preserve"> 	Aun admitiendo que el precio convenido pudiera resultar inferior al valor de mercado de un inmueble de similares características, no ha quedado acreditada con suficiente entidad una ventaja patrimonial evidentemente desproporcionada y sin justificación apreciada según las condiciones particulares del negocio y, fundamentalmente, tampoco la situación subjetiva de necesidad, debilidad psíquica o inexperiencia y su explotación por los demandados que exige el art. 332 del CCyC. </w:t>
      </w:r>
    </w:p>
    <w:p>
      <w:pPr>
        <w:pStyle w:val="[Normal]"/>
        <w:spacing w:line="360" w:lineRule="auto"/>
        <w:jc w:val="both"/>
        <w:rPr>
          <w:color w:val="000000"/>
          <w:lang w:val="es-AR" w:eastAsia="es-AR" w:bidi="es-AR"/>
        </w:rPr>
      </w:pPr>
      <w:r>
        <w:rPr>
          <w:color w:val="000000"/>
          <w:lang w:val="es-AR" w:eastAsia="es-AR" w:bidi="es-AR"/>
        </w:rPr>
        <w:t xml:space="preserve"> 	Resta añadir que la conclusión alcanzada tampoco desconoce las obligaciones emergentes de la Convención Interamericana sobre la Protección de los Derechos Humanos de las Personas Mayores. Dicho instrumento impone prevenir el abuso y la enajenación ilegal de sus bienes (art. 23), pero simultáneamente reconoce como principios la independencia y autonomía de la persona mayor (arts. 3 y 7), garantiza su capacidad jurídica en igualdad de condiciones y el derecho a controlar sus propios asuntos económicos (art. 30), y prohíbe la discriminación fundada en la edad (art. 5). De allí que la tutela convencional no autorice a presumir, por la sola condición etaria, una disminución de la aptitud para contratar ni un aprovechamiento por la contraparte; exige, antes bien, examinar concretamente las condiciones de vulnerabilidad alegadas y adoptar las salvaguardias necesarias cuando ellas se encuentren verificadas. En el caso, tales circunstancias fueron específicamente ponderadas -incluidas la edad, escolaridad y situación personal informadas en la pericia psicológica- sin que la prueba permita tener por acreditada una afectación de la autonomía decisoria ni una explotación de aquéllas al momento del negocio.	  	Por ello, corresponde desestimar también este agravio (arts. 332 CCyC; 375 y 384 CPCC).</w:t>
      </w:r>
    </w:p>
    <w:p>
      <w:pPr>
        <w:pStyle w:val="[Normal]"/>
        <w:spacing w:line="360" w:lineRule="auto"/>
        <w:jc w:val="both"/>
        <w:rPr>
          <w:color w:val="000000"/>
          <w:lang w:val="es-AR" w:eastAsia="es-AR" w:bidi="es-AR"/>
        </w:rPr>
      </w:pPr>
      <w:r>
        <w:rPr>
          <w:color w:val="000000"/>
          <w:lang w:val="es-AR" w:eastAsia="es-AR" w:bidi="es-AR"/>
        </w:rPr>
        <w:t xml:space="preserve"> 	VI.- En cuanto a la crítica dirigida contra la aplicación de la doctrina de los actos propios, asiste parcialmente razón al recurrente en cuanto señala que dicho principio no puede constituir, en este caso, el fundamento inicial para descartar los vicios de la voluntad invocados. </w:t>
      </w:r>
    </w:p>
    <w:p>
      <w:pPr>
        <w:pStyle w:val="[Normal]"/>
        <w:spacing w:line="360" w:lineRule="auto"/>
        <w:jc w:val="both"/>
        <w:rPr>
          <w:color w:val="000000"/>
          <w:lang w:val="es-AR" w:eastAsia="es-AR" w:bidi="es-AR"/>
        </w:rPr>
      </w:pPr>
      <w:r>
        <w:rPr>
          <w:color w:val="000000"/>
          <w:lang w:val="es-AR" w:eastAsia="es-AR" w:bidi="es-AR"/>
        </w:rPr>
        <w:t xml:space="preserve"> 	En rigor, la regla que impide ponerse en contradicción con una conducta anterior jurídicamente relevante presupone, precisamente, que aquella primera actuación haya sido válida y eficaz. Por ello, cuando lo controvertido consiste en determinar si el boleto de compraventa y el poder especial fueron celebrados mediante engaño, error, lesión o una maniobra simulatoria, no sería metodológica ni jurídicamente correcto rechazar tales planteos por la sola circunstancia de que el actor suscribió aquellos instrumentos, pues ello supondría dar por demostrada la validez del acto a partir del mismo acto cuya validez se encuentra cuestionada.</w:t>
      </w:r>
    </w:p>
    <w:p>
      <w:pPr>
        <w:pStyle w:val="[Normal]"/>
        <w:spacing w:line="360" w:lineRule="auto"/>
        <w:jc w:val="both"/>
        <w:rPr>
          <w:color w:val="000000"/>
          <w:lang w:val="es-AR" w:eastAsia="es-AR" w:bidi="es-AR"/>
        </w:rPr>
      </w:pPr>
      <w:r>
        <w:rPr>
          <w:color w:val="000000"/>
          <w:lang w:val="es-AR" w:eastAsia="es-AR" w:bidi="es-AR"/>
        </w:rPr>
        <w:t xml:space="preserve"> 	Tal precisión, sin embargo, no conduce a admitir el agravio ni a modificar la solución alcanzada. Ello así por cuanto la sentencia no se encuentra frente a una mera retractación de Gilich respecto de una declaración aislada, sino ante una secuencia de actos jurídicos concordantes: el 2/5/2019 suscribió junto con Hilda Zaninovich el boleto por el cual se enajenaba la totalidad del inmueble y, en la misma fecha, ambos otorgaron el poder especial e irrevocable destinado a posibilitar su posterior escrituración; finalmente, en la escritura n° 50 se instrumentó la transferencia a favor de Laura Mazzieri mediante la representación conferida. La propia sentencia valoró esa sucesión de comportamientos al considerar que la posterior pretensión resultaba contradictoria con la conducta anteriormente desplegada.</w:t>
      </w:r>
    </w:p>
    <w:p>
      <w:pPr>
        <w:pStyle w:val="[Normal]"/>
        <w:spacing w:line="360" w:lineRule="auto"/>
        <w:jc w:val="both"/>
        <w:rPr>
          <w:color w:val="000000"/>
          <w:lang w:val="es-AR" w:eastAsia="es-AR" w:bidi="es-AR"/>
        </w:rPr>
      </w:pPr>
      <w:r>
        <w:rPr>
          <w:color w:val="000000"/>
          <w:lang w:val="es-AR" w:eastAsia="es-AR" w:bidi="es-AR"/>
        </w:rPr>
        <w:t xml:space="preserve"> 	Ahora bien, la relevancia de tales antecedentes no radica en que permitan presumir indiscutiblemente la inexistencia de vicios del consentimiento, sino en que, una vez examinada la prueba destinada a demostrar esos vicios y descartada su suficiencia -conforme se expuso en los apartados precedentes-, aquellos actos recuperan plenamente su eficacia como manifestaciones objetivas de la conducta negocial asumida. En otros términos, no corresponde razonar que Gilich no pudo haber sido engañado porque firmó el boleto y el poder; corresponde establecer primero si el engaño alegado fue acreditado y, sólo ante la respuesta negativa -conforme surge de los apartados anteriores-, ponderar que la pretensión actualmente ejercida procura desconocer una secuencia negocial cuya invalidez no logró demostrarse.	</w:t>
        <w:br w:type="textWrapping"/>
      </w:r>
      <w:r>
        <w:rPr>
          <w:color w:val="000000"/>
          <w:lang w:val="es-AR" w:eastAsia="es-AR" w:bidi="es-AR"/>
        </w:rPr>
        <w:t xml:space="preserve"> 	Tampoco modifica esa conclusión la alegada falta de identidad entre los sujetos que intervinieron en las distintas etapas. El boleto individualizó a Gilich y Zaninovich como vendedores y a Giordano como comprador en comisión; el poder especial otorgado simultáneamente tuvo por finalidad posibilitar la escrituración del mismo inmueble y la escritura posterior concretó esa transmisión en favor de Laura Mazzieri. No se trata, por tanto, de conductas desarrolladas en relaciones jurídicas absolutamente independientes que el fallo hubiera enlazado artificialmente, sino de actos sucesivos vinculados en una misma operación económica. La intervención de diferentes personas responde precisamente a las posiciones asumidas en esa secuencia -comisionista, mandante, mandatario y adquirente-, sin que esa circunstancia impida valorar unitariamente el comportamiento negocial.</w:t>
      </w:r>
    </w:p>
    <w:p>
      <w:pPr>
        <w:pStyle w:val="[Normal]"/>
        <w:spacing w:line="360" w:lineRule="auto"/>
        <w:jc w:val="both"/>
        <w:rPr>
          <w:color w:val="000000"/>
          <w:lang w:val="es-AR" w:eastAsia="es-AR" w:bidi="es-AR"/>
        </w:rPr>
      </w:pPr>
      <w:r>
        <w:rPr>
          <w:color w:val="000000"/>
          <w:lang w:val="es-AR" w:eastAsia="es-AR" w:bidi="es-AR"/>
        </w:rPr>
        <w:t xml:space="preserve"> 	En consecuencia, corresponde matizar el fundamento de la sentencia en este aspecto: la doctrina de los actos propios no puede utilizarse para anticipar la respuesta acerca de la validez de los actos impugnados ni para dispensar al órgano jurisdiccional del examen de los vicios concretamente alegados. Pero una vez efectuado ese examen y no acreditados el engaño, la ausencia de consentimiento, la lesión, la simulación o el fraude invocados, nada obsta a ponderar la conducta precedente como elemento corroborante de la coherencia y eficacia de la operación exteriorizada. Así entendido el argumento, la crítica del apelante no posee entidad para alterar la decisión recurrida y debe ser desestimada.</w:t>
      </w:r>
    </w:p>
    <w:p>
      <w:pPr>
        <w:pStyle w:val="[Normal]"/>
        <w:spacing w:line="360" w:lineRule="auto"/>
        <w:jc w:val="both"/>
        <w:rPr>
          <w:color w:val="000000"/>
          <w:lang w:val="es-AR" w:eastAsia="es-AR" w:bidi="es-AR"/>
        </w:rPr>
      </w:pPr>
      <w:r>
        <w:rPr>
          <w:color w:val="000000"/>
          <w:lang w:val="es-AR" w:eastAsia="es-AR" w:bidi="es-AR"/>
        </w:rPr>
        <w:t xml:space="preserve"> 	VII.- En lo concerniente al último agravio, considero que asiste razón al recurrente en cuanto cuestiona el alcance atribuido por el juez de grado a la desestimación de la denuncia penal, aunque -como se verá- esa circunstancia tampoco posee entidad suficiente para modificar la solución final del litigio.</w:t>
      </w:r>
    </w:p>
    <w:p>
      <w:pPr>
        <w:pStyle w:val="[Normal]"/>
        <w:spacing w:line="360" w:lineRule="auto"/>
        <w:jc w:val="both"/>
        <w:rPr>
          <w:color w:val="000000"/>
          <w:lang w:val="es-AR" w:eastAsia="es-AR" w:bidi="es-AR"/>
        </w:rPr>
      </w:pPr>
      <w:r>
        <w:rPr>
          <w:color w:val="000000"/>
          <w:lang w:val="es-AR" w:eastAsia="es-AR" w:bidi="es-AR"/>
        </w:rPr>
        <w:t xml:space="preserve"> 	La sentencia expresó, respecto de la controversia sobre el saldo del precio, que </w:t>
      </w:r>
      <w:r>
        <w:rPr>
          <w:i/>
          <w:color w:val="000000"/>
          <w:lang w:val="es-AR" w:eastAsia="es-AR" w:bidi="es-AR"/>
        </w:rPr>
        <w:t xml:space="preserve">“en sede penal se resolvió que dicho saldo de precio fue íntegramente abonado”</w:t>
      </w:r>
      <w:r>
        <w:rPr>
          <w:color w:val="000000"/>
          <w:lang w:val="es-AR" w:eastAsia="es-AR" w:bidi="es-AR"/>
        </w:rPr>
        <w:t xml:space="preserve">, con remisión a la resolución del 30/6/2023 dictada en la IPP n° 12-01-000480-21, “Giordano Cristian Alejandro s/ Estafa”, y utilizó esa conclusión, conjuntamente con la escritura n° 50, para tener por acreditado el pago de los $1.200.000 correspondientes al actor. Seguidamente ponderó que aquella denuncia había sido desestimada y archivada el 30/6/2023, decisión posteriormente confirmada por el Fiscal General el 1/8/2023; y volvió a acudir a los fundamentos de aquella resolución para analizar la razonabilidad del precio convenido. Es decir que las actuaciones penales tuvieron una incidencia concreta en distintos segmentos del razonamiento judicial y no fueron mencionadas como un mero antecedente histórico.</w:t>
      </w:r>
    </w:p>
    <w:p>
      <w:pPr>
        <w:pStyle w:val="[Normal]"/>
        <w:spacing w:line="360" w:lineRule="auto"/>
        <w:jc w:val="both"/>
        <w:rPr>
          <w:color w:val="000000"/>
          <w:lang w:val="es-AR" w:eastAsia="es-AR" w:bidi="es-AR"/>
        </w:rPr>
      </w:pPr>
      <w:r>
        <w:rPr>
          <w:color w:val="000000"/>
          <w:lang w:val="es-AR" w:eastAsia="es-AR" w:bidi="es-AR"/>
        </w:rPr>
        <w:t xml:space="preserve"> 	Ahora bien, considero necesario distinguir entre el valor probatorio de las constancias incorporadas a aquella investigación y la eficacia que pueda atribuirse a la decisión que puso fin a la investigación. La IPP fue iniciada por la denuncia formulada por Gilich el 22/4/2021; éste fue posteriormente tenido por particular damnificado el 8/11/2021 y durante su trámite se recibieron, entre otras, las declaraciones de Laura Mazzieri y de Santiago Mazzieri -esta última el 30/5/2023-, actuaciones que incluso fueron ofrecidas como prueba instrumental en el presente proceso. Tales elementos, en cuanto fueron incorporados a estos autos y sometidos a la valoración judicial, pueden naturalmente ser ponderados conforme las reglas de la sana crítica; pero ello no significa trasladar al proceso civil, con efecto vinculante, las conclusiones alcanzadas por el Ministerio Público al decidir si existían elementos suficientes para continuar una persecución por el delito de estafa.</w:t>
      </w:r>
    </w:p>
    <w:p>
      <w:pPr>
        <w:pStyle w:val="[Normal]"/>
        <w:spacing w:line="360" w:lineRule="auto"/>
        <w:jc w:val="both"/>
        <w:rPr>
          <w:color w:val="000000"/>
          <w:lang w:val="es-AR" w:eastAsia="es-AR" w:bidi="es-AR"/>
        </w:rPr>
      </w:pPr>
      <w:r>
        <w:rPr>
          <w:color w:val="000000"/>
          <w:lang w:val="es-AR" w:eastAsia="es-AR" w:bidi="es-AR"/>
        </w:rPr>
        <w:t xml:space="preserve"> 	En tal dirección, la resolución fiscal del 30/6/2023 dispuso la desestimación y archivo de la denuncia, posteriormente confirmados en sede fiscal el 1/8/2023. Esa decisión no constituye una sentencia penal absolutoria dictada luego de un juicio que haya establecido con autoridad propia la inexistencia del hecho principal, sino una resolución adoptada dentro de la etapa investigativa acerca de la procedencia de continuar la persecución penal. De allí que sus consideraciones acerca del pago, del precio o de las características de la operación puedan ser conocidas como parte de las actuaciones incorporadas, pero no sustituyen la valoración que corresponde efectuar al juez civil sobre los presupuestos de la nulidad, lesión, simulación, fraude o responsabilidad sometidos específicamente a su decisión.	</w:t>
        <w:br w:type="textWrapping"/>
      </w:r>
      <w:r>
        <w:rPr>
          <w:color w:val="000000"/>
          <w:lang w:val="es-AR" w:eastAsia="es-AR" w:bidi="es-AR"/>
        </w:rPr>
        <w:t xml:space="preserve"> 	En este sentido, la desestimación denuncia como modo extintivo del proceso penal procede cuando </w:t>
      </w:r>
      <w:r>
        <w:rPr>
          <w:i/>
          <w:color w:val="000000"/>
          <w:lang w:val="es-AR" w:eastAsia="es-AR" w:bidi="es-AR"/>
        </w:rPr>
        <w:t xml:space="preserve">"los hechos referidos a ella no cosntituyen delito o cuando se no se pueda proceder"</w:t>
      </w:r>
      <w:r>
        <w:rPr>
          <w:color w:val="000000"/>
          <w:lang w:val="es-AR" w:eastAsia="es-AR" w:bidi="es-AR"/>
        </w:rPr>
        <w:t xml:space="preserve"> (art. 290 del CPPBA).  	Al respecto, Petiti y Morea sostienen que esta causal configura </w:t>
      </w:r>
      <w:r>
        <w:rPr>
          <w:i/>
          <w:color w:val="000000"/>
          <w:lang w:val="es-AR" w:eastAsia="es-AR" w:bidi="es-AR"/>
        </w:rPr>
        <w:t xml:space="preserve">"una atribución que corresponde al Ministerio Público Fiscal"</w:t>
      </w:r>
      <w:r>
        <w:rPr>
          <w:color w:val="000000"/>
          <w:lang w:val="es-AR" w:eastAsia="es-AR" w:bidi="es-AR"/>
        </w:rPr>
        <w:t xml:space="preserve"> y que se conecta </w:t>
      </w:r>
      <w:r>
        <w:rPr>
          <w:i/>
          <w:color w:val="000000"/>
          <w:lang w:val="es-AR" w:eastAsia="es-AR" w:bidi="es-AR"/>
        </w:rPr>
        <w:t xml:space="preserve">"con la ausencia de una hipótesis delictiva viable, pues el hecho – tal como aparece narrado- no tiene posibilidades de hospedarse en un tipo penal"</w:t>
      </w:r>
      <w:r>
        <w:rPr>
          <w:color w:val="000000"/>
          <w:lang w:val="es-AR" w:eastAsia="es-AR" w:bidi="es-AR"/>
        </w:rPr>
        <w:t xml:space="preserve">. Y -en lo que aquí- interesa aducen que: </w:t>
      </w:r>
      <w:r>
        <w:rPr>
          <w:i/>
          <w:color w:val="000000"/>
          <w:lang w:val="es-AR" w:eastAsia="es-AR" w:bidi="es-AR"/>
        </w:rPr>
        <w:t xml:space="preserve">"una denuncia desestimada no apareja consecuencias en el campo de la acción civil. Excluida sin ambages la regla de prejudicialidad, el proceso civil se presenta como un ámbito de conocimiento apto para discutir sin condicionamientos ni limitaciones si el hecho narrado en la denuncia desestimada posee capacidad para generar responsabilidad civil. Un caso clásico en este sentido ocurre cuando se desestima una denuncia realizada en orden al delito de estafa bajo el argumento de la inexistencia de engaño (como elemento de la tipicidad objetiva), quedando subsistente la hipótesis del incumplimiento contractual (penalmente irrelevante)" </w:t>
      </w:r>
      <w:r>
        <w:rPr>
          <w:color w:val="000000"/>
          <w:lang w:val="es-AR" w:eastAsia="es-AR" w:bidi="es-AR"/>
        </w:rPr>
        <w:t xml:space="preserve">(Código Procesal Civil y Comercial de la Provincia de Buenos Aires, KOGAN, Hilda; SORIA, Daniel; TORRES, Sergio (directores), VALLE, Marcelo (coordinador), pág. 501 y 502).</w:t>
      </w:r>
      <w:r>
        <w:rPr>
          <w:i/>
          <w:color w:val="000000"/>
          <w:lang w:val="es-AR" w:eastAsia="es-AR" w:bidi="es-AR"/>
        </w:rPr>
        <w:t xml:space="preserve">	</w:t>
      </w:r>
      <w:r>
        <w:rPr>
          <w:color w:val="000000"/>
          <w:lang w:val="es-AR" w:eastAsia="es-AR" w:bidi="es-AR"/>
        </w:rPr>
        <w:br w:type="textWrapping"/>
      </w:r>
      <w:r>
        <w:rPr>
          <w:color w:val="000000"/>
          <w:lang w:val="es-AR" w:eastAsia="es-AR" w:bidi="es-AR"/>
        </w:rPr>
        <w:t xml:space="preserve"> 	Desde esta perspectiva, no comparto la afirmación categórica del fallo según la cual en sede penal </w:t>
      </w:r>
      <w:r>
        <w:rPr>
          <w:i/>
          <w:color w:val="000000"/>
          <w:lang w:val="es-AR" w:eastAsia="es-AR" w:bidi="es-AR"/>
        </w:rPr>
        <w:t xml:space="preserve">“se resolvió”</w:t>
      </w:r>
      <w:r>
        <w:rPr>
          <w:color w:val="000000"/>
          <w:lang w:val="es-AR" w:eastAsia="es-AR" w:bidi="es-AR"/>
        </w:rPr>
        <w:t xml:space="preserve"> que el saldo correspondiente a Gilich había sido íntegramente abonado. Lo decidido fue la desestimación de una denuncia por estafa; la efectiva percepción del precio constituyó uno de los antecedentes ponderados para adoptar esa determinación, pero no el objeto de un pronunciamiento jurisdiccional civil susceptible de relevar al juez de examinar autónomamente la prueba producida sobre ese extremo. Idéntica precisión corresponde respecto de la consideración de que el precio superaba la valuación fiscal y se encontraba dentro de los valores de la época conforme la información de ARBA, argumento que la sentencia reprodujo al analizar el alegado precio vil. </w:t>
      </w:r>
    </w:p>
    <w:p>
      <w:pPr>
        <w:pStyle w:val="[Normal]"/>
        <w:spacing w:line="360" w:lineRule="auto"/>
        <w:jc w:val="both"/>
        <w:rPr>
          <w:color w:val="000000"/>
          <w:lang w:val="es-AR" w:eastAsia="es-AR" w:bidi="es-AR"/>
        </w:rPr>
      </w:pPr>
      <w:r>
        <w:rPr>
          <w:color w:val="000000"/>
          <w:lang w:val="es-AR" w:eastAsia="es-AR" w:bidi="es-AR"/>
        </w:rPr>
        <w:t xml:space="preserve"> 	La razonabilidad económica del negocio y la eventual configuración de lesión debían decidirse conforme a los presupuestos propios del art. 332 del CCyC y a la totalidad de la prueba producida en este proceso, como efectivamente se ha hecho al tratar el agravio respectivo. </w:t>
      </w:r>
    </w:p>
    <w:p>
      <w:pPr>
        <w:pStyle w:val="[Normal]"/>
        <w:spacing w:line="360" w:lineRule="auto"/>
        <w:jc w:val="both"/>
        <w:rPr>
          <w:color w:val="000000"/>
          <w:lang w:val="es-AR" w:eastAsia="es-AR" w:bidi="es-AR"/>
        </w:rPr>
      </w:pPr>
      <w:r>
        <w:rPr>
          <w:color w:val="000000"/>
          <w:lang w:val="es-AR" w:eastAsia="es-AR" w:bidi="es-AR"/>
        </w:rPr>
        <w:t xml:space="preserve"> 	La precisión anterior, sin embargo, no conduce automáticamente a revocar la decisión. Una vez prescindido del pretendido efecto dirimente de la resolución penal, subsisten los restantes elementos autónomamente examinados en los apartados precedentes: la documentación de la operación, el reconocimiento del pago total contenido en la escritura n° 50, la participación y percepción de su parte del precio reconocida por Hilda Zaninovich, la insuficiencia de la declaración de Santiago Mazzieri para demostrar el impago, la falta de acreditación del alegado engaño y la ausencia de prueba bastante sobre los presupuestos subjetivos y objetivos de la lesión y del fraude. La propia causa penal conserva, además, utilidad probatoria respecto de las declaraciones y demás elementos allí colectados, pero no por la autoridad de la decisión fiscal que dispuso su archivo.</w:t>
      </w:r>
    </w:p>
    <w:p>
      <w:pPr>
        <w:pStyle w:val="[Normal]"/>
        <w:spacing w:line="360" w:lineRule="auto"/>
        <w:jc w:val="both"/>
        <w:rPr>
          <w:color w:val="000000"/>
          <w:lang w:val="es-AR" w:eastAsia="es-AR" w:bidi="es-AR"/>
        </w:rPr>
      </w:pPr>
      <w:r>
        <w:rPr>
          <w:color w:val="000000"/>
          <w:lang w:val="es-AR" w:eastAsia="es-AR" w:bidi="es-AR"/>
        </w:rPr>
        <w:t xml:space="preserve"> 	A resultas de lo expuesto, he de concluir que el agravio resulta atendible únicamente en cuanto procura relativizar el alcance que el juez de grado atribuyó a la desestimación y archivo de la IPP n° 12-01-000480-21, por cuanto tal resolución no podía operar como demostración autónoma de que Gilich recibió el saldo del precio ni como decisión vinculante acerca de la validez civil de la operación. Con todo, corregido ese aspecto del razonamiento, las restantes constancias valoradas en esta instancia proporcionan fundamento suficiente para mantener la solución alcanzada.  </w:t>
        <w:br w:type="textWrapping"/>
      </w:r>
      <w:r>
        <w:rPr>
          <w:color w:val="000000"/>
          <w:lang w:val="es-AR" w:eastAsia="es-AR" w:bidi="es-AR"/>
        </w:rPr>
        <w:t xml:space="preserve"> 	Por ello, y sin perjuicio de la disquisición argumental efectuada, corresponde confirmar la resolución de grado, sin que ello determine modificación alguna de la parte dispositiva de la sentencia apelada.</w:t>
      </w:r>
    </w:p>
    <w:p>
      <w:pPr>
        <w:pStyle w:val="[Normal]"/>
        <w:spacing w:line="360" w:lineRule="auto"/>
        <w:jc w:val="both"/>
        <w:rPr>
          <w:b/>
          <w:lang w:val="es-AR" w:eastAsia="es-AR" w:bidi="es-AR"/>
        </w:rPr>
      </w:pPr>
      <w:r>
        <w:rPr>
          <w:b/>
          <w:lang w:val="es-AR" w:eastAsia="es-AR" w:bidi="es-AR"/>
        </w:rPr>
        <w:t xml:space="preserve"> 	 VOTO POR LA AFIRMATIVA.</w:t>
      </w:r>
    </w:p>
    <w:p>
      <w:pPr>
        <w:pStyle w:val="[Normal]"/>
        <w:spacing w:line="360" w:lineRule="auto"/>
        <w:ind w:firstLine="1134"/>
        <w:jc w:val="both"/>
        <w:rPr>
          <w:lang w:val="es-AR" w:eastAsia="es-AR" w:bidi="es-AR"/>
        </w:rPr>
      </w:pPr>
      <w:r>
        <w:rPr>
          <w:lang w:val="es-AR" w:eastAsia="es-AR" w:bidi="es-AR"/>
        </w:rPr>
        <w:t xml:space="preserve"> A la misma cuestión el señor Juez Leonardo Villanueva, por análogos fundamentos votó en el mismo sentido.</w:t>
      </w:r>
    </w:p>
    <w:p>
      <w:pPr>
        <w:pStyle w:val="[Normal]"/>
        <w:spacing w:line="360" w:lineRule="auto"/>
        <w:ind w:firstLine="1134"/>
        <w:jc w:val="both"/>
        <w:rPr>
          <w:lang w:val="es-AR" w:eastAsia="es-AR" w:bidi="es-AR"/>
        </w:rPr>
      </w:pPr>
      <w:r>
        <w:rPr>
          <w:lang w:val="es-AR" w:eastAsia="es-AR" w:bidi="es-AR"/>
        </w:rPr>
        <w:t xml:space="preserve"> A la segunda cuestión el señor Juez, Roberto Manuel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1) Rechazar el recurso de apelación interpuesto por la parte actora, confirmando lo decidido en la sentencia apelada.</w:t>
      </w:r>
    </w:p>
    <w:p>
      <w:pPr>
        <w:pStyle w:val="[Normal]"/>
        <w:spacing w:line="360" w:lineRule="auto"/>
        <w:ind w:firstLine="1134"/>
        <w:jc w:val="both"/>
        <w:rPr>
          <w:lang w:val="es-AR" w:eastAsia="es-AR" w:bidi="es-AR"/>
        </w:rPr>
      </w:pPr>
      <w:r>
        <w:rPr>
          <w:lang w:val="es-AR" w:eastAsia="es-AR" w:bidi="es-AR"/>
        </w:rPr>
        <w:t xml:space="preserve">2) Imponer las costas de Alzada a la parte actora vencida (art. 68/9 del CPCC).</w:t>
      </w:r>
    </w:p>
    <w:p>
      <w:pPr>
        <w:pStyle w:val="[Normal]"/>
        <w:spacing w:line="360" w:lineRule="auto"/>
        <w:ind w:firstLine="1134"/>
        <w:jc w:val="both"/>
        <w:rPr>
          <w:lang w:val="es-AR" w:eastAsia="es-AR" w:bidi="es-AR"/>
        </w:rPr>
      </w:pPr>
      <w:r>
        <w:rPr>
          <w:lang w:val="es-AR" w:eastAsia="es-AR" w:bidi="es-AR"/>
        </w:rPr>
        <w:t xml:space="preserve">3) Diferir la regulación de honorarios para su oportunidad (art. 31 de la ley 14.967).</w:t>
      </w:r>
    </w:p>
    <w:p>
      <w:pPr>
        <w:pStyle w:val="[Normal]"/>
        <w:spacing w:line="360" w:lineRule="auto"/>
        <w:ind w:firstLine="1134"/>
        <w:jc w:val="both"/>
        <w:rPr>
          <w:b/>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el señor Juez, Leonardo Villanueva,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p>
    <w:p>
      <w:pPr>
        <w:pStyle w:val="[Normal]"/>
        <w:spacing w:line="360" w:lineRule="auto"/>
        <w:ind w:firstLine="1134"/>
        <w:jc w:val="both"/>
        <w:rPr>
          <w:lang w:val="es-AR" w:eastAsia="es-AR" w:bidi="es-AR"/>
        </w:rPr>
      </w:pPr>
      <w:r>
        <w:rPr>
          <w:lang w:val="es-AR" w:eastAsia="es-AR" w:bidi="es-AR"/>
        </w:rPr>
        <w:t xml:space="preserve">1) Rechazar el recurso de apelación interpuesto por la parte actora, confirmando lo decidido en la sentencia apelada.</w:t>
      </w:r>
    </w:p>
    <w:p>
      <w:pPr>
        <w:pStyle w:val="[Normal]"/>
        <w:spacing w:line="360" w:lineRule="auto"/>
        <w:ind w:firstLine="1134"/>
        <w:jc w:val="both"/>
        <w:rPr>
          <w:lang w:val="es-AR" w:eastAsia="es-AR" w:bidi="es-AR"/>
        </w:rPr>
      </w:pPr>
      <w:r>
        <w:rPr>
          <w:lang w:val="es-AR" w:eastAsia="es-AR" w:bidi="es-AR"/>
        </w:rPr>
        <w:t xml:space="preserve">2) Imponer las costas de Alzada a la parte actora vencida (art. 68/9 del CPCC).</w:t>
      </w:r>
    </w:p>
    <w:p>
      <w:pPr>
        <w:pStyle w:val="[Normal]"/>
        <w:spacing w:line="360" w:lineRule="auto"/>
        <w:ind w:firstLine="1134"/>
        <w:jc w:val="both"/>
        <w:rPr>
          <w:lang w:val="es-AR" w:eastAsia="es-AR" w:bidi="es-AR"/>
        </w:rPr>
      </w:pPr>
      <w:r>
        <w:rPr>
          <w:lang w:val="es-AR" w:eastAsia="es-AR" w:bidi="es-AR"/>
        </w:rPr>
        <w:t xml:space="preserve">3) Diferir la regulación de honorarios para su oportunidad (art. 31 de la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r>
        <w:rPr>
          <w:color w:val="000000"/>
          <w:lang w:val="es-AR" w:eastAsia="es-AR" w:bidi="es-AR"/>
        </w:rPr>
        <w:t xml:space="preserve">-</w:t>
      </w:r>
      <w:r>
        <w:rPr>
          <w:color w:val="000000"/>
          <w:lang w:val="es-AR" w:eastAsia="es-AR" w:bidi="es-AR"/>
        </w:rPr>
        <w:t xml:space="preserve"> </w:t>
      </w:r>
    </w:p>
    <w:p>
      <w:pPr>
        <w:pStyle w:val="[Normal]"/>
        <w:spacing w:line="360" w:lineRule="auto"/>
        <w:ind w:firstLine="1134"/>
        <w:jc w:val="both"/>
        <w:rPr>
          <w:lang w:val="es-AR" w:eastAsia="es-AR" w:bidi="es-AR"/>
        </w:rPr>
      </w:pPr>
    </w:p>
    <w:p>
      <w:pPr>
        <w:pStyle w:val="[Normal]"/>
        <w:spacing w:line="360" w:lineRule="auto"/>
        <w:ind w:firstLine="1134"/>
        <w:jc w:val="both"/>
        <w:rPr>
          <w:lang w:val="es-AR" w:eastAsia="es-AR" w:bidi="es-AR"/>
        </w:rPr>
      </w:pPr>
      <w:r>
        <w:rPr>
          <w:lang w:val="es-AR" w:eastAsia="es-AR" w:bidi="es-AR"/>
        </w:rPr>
        <w:t xml:space="preserve"> </w:t>
      </w:r>
    </w:p>
    <w:p>
      <w:pPr>
        <w:pStyle w:val="[Normal]"/>
        <w:spacing w:line="480" w:lineRule="auto"/>
        <w:ind w:firstLine="1134"/>
        <w:jc w:val="both"/>
        <w:rPr>
          <w:lang w:val="es-AR" w:eastAsia="es-AR" w:bidi="es-AR"/>
        </w:rPr>
      </w:pPr>
      <w:r>
        <w:rPr>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23296387444@NOTIFICACIONES.SCBA.GOV.AR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20346246813@NOTIFICACIONES.SCBA.GOV.AR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Domicilio Electrónico: 20283905102@NOTIFICACIONES.SCBA.GOV.AR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10/09/2026 10:06:45 -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10/09/2026 11:20:16 -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10/09/2026 11:50:58 - MOREA Adrian Oscar - SECRETARIO DE CÁMARA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‰7?")è'"LDEŠ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233102090007024436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10/09/2026 11:51:19 hs. bajo el número RS-142-2026 por MOREA ADRIAN OSCAR.</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