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ind w:firstLine="1134"/>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color w:val="000000"/>
          <w:lang w:val="es-AR" w:eastAsia="es-AR" w:bidi="es-AR"/>
        </w:rPr>
        <w:t xml:space="preserve">6045-26</w:t>
      </w:r>
      <w:r>
        <w:rPr>
          <w:lang w:val="es-AR" w:eastAsia="es-AR" w:bidi="es-AR"/>
        </w:rPr>
        <w:t xml:space="preserve"> caratulada </w:t>
      </w:r>
      <w:r>
        <w:rPr>
          <w:b/>
          <w:lang w:val="es-AR" w:eastAsia="es-AR" w:bidi="es-AR"/>
        </w:rPr>
        <w:t xml:space="preserve">"</w:t>
      </w:r>
      <w:r>
        <w:rPr>
          <w:b/>
          <w:color w:val="000000"/>
          <w:lang w:val="es-AR" w:eastAsia="es-AR" w:bidi="es-AR"/>
        </w:rPr>
        <w:t xml:space="preserve">CAMOCARDI AMABILIA JULIA Y OTRO/A C/ DIAZ EMANUEL ANTONIO Y OTROS S/ DAÑOS Y PERJ.AUTOM. C/LES. O MUERTE (EXC.ESTADO)</w:t>
      </w:r>
      <w:r>
        <w:rPr>
          <w:b/>
          <w:lang w:val="es-AR" w:eastAsia="es-AR" w:bidi="es-AR"/>
        </w:rPr>
        <w:t xml:space="preserve">"</w:t>
      </w:r>
      <w:r>
        <w:rPr>
          <w:lang w:val="es-AR" w:eastAsia="es-AR" w:bidi="es-AR"/>
        </w:rPr>
        <w:t xml:space="preserve">, Expte. </w:t>
      </w:r>
      <w:r>
        <w:rPr>
          <w:color w:val="000000"/>
          <w:lang w:val="es-AR" w:eastAsia="es-AR" w:bidi="es-AR"/>
        </w:rPr>
        <w:t xml:space="preserve">68.017</w:t>
      </w:r>
      <w:r>
        <w:rPr>
          <w:color w:val="000000"/>
          <w:lang w:val="es-AR" w:eastAsia="es-AR" w:bidi="es-AR"/>
        </w:rPr>
        <w:t xml:space="preserve"> </w:t>
      </w:r>
      <w:r>
        <w:rPr>
          <w:lang w:val="es-AR" w:eastAsia="es-AR" w:bidi="es-AR"/>
        </w:rPr>
        <w:t xml:space="preserve">del Juzgado en lo Civil y Comercial N° 3, se practicó el sorteo de ley que determinó que la votación debía efectuarse en el siguiente orden: Graciela Scaraffia y Roberto Degleue,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la señora Jueza Graciela Scaraffia dijo:</w:t>
      </w:r>
    </w:p>
    <w:p>
      <w:pPr>
        <w:pStyle w:val="[Normal]"/>
        <w:spacing w:line="360" w:lineRule="auto"/>
        <w:ind w:firstLine="1134"/>
        <w:jc w:val="both"/>
        <w:rPr>
          <w:lang w:val="es-AR" w:eastAsia="es-AR" w:bidi="es-AR"/>
        </w:rPr>
      </w:pPr>
      <w:r>
        <w:rPr>
          <w:lang w:val="es-AR" w:eastAsia="es-AR" w:bidi="es-AR"/>
        </w:rPr>
        <w:t xml:space="preserve">El Sr. Juez de la anterior instancia hizo lugar a la demanda instaurada por Amabilia Julia Camocardi </w:t>
      </w:r>
      <w:r>
        <w:rPr>
          <w:color w:val="000000"/>
          <w:lang w:val="es-AR" w:eastAsia="es-AR" w:bidi="es-AR"/>
        </w:rPr>
        <w:t xml:space="preserve">y Matias Ezequiel Luciani</w:t>
      </w:r>
      <w:r>
        <w:rPr>
          <w:lang w:val="es-AR" w:eastAsia="es-AR" w:bidi="es-AR"/>
        </w:rPr>
        <w:t xml:space="preserve"> y  condenó a </w:t>
      </w:r>
      <w:r>
        <w:rPr>
          <w:color w:val="000000"/>
          <w:lang w:val="es-AR" w:eastAsia="es-AR" w:bidi="es-AR"/>
        </w:rPr>
        <w:t xml:space="preserve">Hugo Osvaldo Mendez; Viviana Aurelia Velazquez y Seguros Bernardino Rivadavia Coop. Ltda. </w:t>
      </w:r>
      <w:r>
        <w:rPr>
          <w:lang w:val="es-AR" w:eastAsia="es-AR" w:bidi="es-AR"/>
        </w:rPr>
        <w:t xml:space="preserve"> a abonar a la primera, la suma de Pesos Once Millones Ochocientos Sesenta y Tres Mil Ochocientos Noventa y Seis con 76/100 centavos ($11.863.896,76) y, al segundo, la suma de pesos dos millones cien mil ($2.100.000), en ambos casos, con más los intereses calculados en la forma dispuesta en el considerando VI de la sentencia. Asimismo, hizo lugar a la demanda instaurada por Amabilia Julia Camocardi y Matias Ezequiel Luciani y condenó a Emanuel Antonio Diaz, a abonar a la primera, la suma de pesos diecisiete millones setecientos noventa y cinco mil ochocientos cuarenta y cinco ($17.795.845) y, al segundo, la suma de pesos tres millones ciento cincuenta mil ($3.150.000), en ambos casos, con más los intereses calculados en la forma dispuesta en el considerando VI de la sentencia. Aplicó las costas a la parte demandada y a la citada en garantía, que resultan vencidas y  difirió la regulación de honorarios de  los  letrados intervinientes  y  de  los  peritos  hasta  que  medie  firme  la respectiva liquidación de intereses y gastos.</w:t>
      </w:r>
    </w:p>
    <w:p>
      <w:pPr>
        <w:pStyle w:val="[Normal]"/>
        <w:spacing w:line="360" w:lineRule="auto"/>
        <w:ind w:firstLine="1134"/>
        <w:jc w:val="both"/>
        <w:rPr>
          <w:lang w:val="es-AR" w:eastAsia="es-AR" w:bidi="es-AR"/>
        </w:rPr>
      </w:pPr>
      <w:r>
        <w:rPr>
          <w:lang w:val="es-AR" w:eastAsia="es-AR" w:bidi="es-AR"/>
        </w:rPr>
        <w:t xml:space="preserve">Tal decisorio fue objeto de los recursos de apelación interpuestos por la parte actora (7-4-2026), por la demandada (9-4-2026) y la citada en garantía (31-3-2026), concedidos libremente (31-3-2026, 7-4-2026 y 9-4-2026, respectivamente).</w:t>
      </w:r>
    </w:p>
    <w:p>
      <w:pPr>
        <w:pStyle w:val="[Normal]"/>
        <w:spacing w:line="360" w:lineRule="auto"/>
        <w:ind w:firstLine="1134"/>
        <w:jc w:val="both"/>
        <w:rPr>
          <w:lang w:val="es-AR" w:eastAsia="es-AR" w:bidi="es-AR"/>
        </w:rPr>
      </w:pPr>
      <w:r>
        <w:rPr>
          <w:lang w:val="es-AR" w:eastAsia="es-AR" w:bidi="es-AR"/>
        </w:rPr>
        <w:t xml:space="preserve">Elevados los autos a esta Alzada, con fecha 14-4-2026 se ordenó expresar agravios a la parte actora, quien los presentó el 24-4-2026.  Por su parte el día 17-4-2026 expresó agravios la citada en garantía y el 23-4-2026 lo hizo el codemandado Emauel Antonio Díaz; cuyos traslados fueron evacuados el 6-5-2026 por la parte actora y el 8-5-2026 por la citada en garantía, no habiendo el codemandado Emanuel Antonio Díaz contestado el traslado conferido.</w:t>
      </w:r>
    </w:p>
    <w:p>
      <w:pPr>
        <w:pStyle w:val="[Normal]"/>
        <w:spacing w:line="360" w:lineRule="auto"/>
        <w:ind w:firstLine="1134"/>
        <w:jc w:val="both"/>
        <w:rPr>
          <w:lang w:val="es-AR" w:eastAsia="es-AR" w:bidi="es-AR"/>
        </w:rPr>
      </w:pPr>
      <w:r>
        <w:rPr>
          <w:lang w:val="es-AR" w:eastAsia="es-AR" w:bidi="es-AR"/>
        </w:rPr>
        <w:t xml:space="preserve">El 14-5-2026 se llamó autos para dictar sentencia, providencia que, firme a la fecha deja la causa en condiciones de ser fallada.</w:t>
      </w:r>
    </w:p>
    <w:p>
      <w:pPr>
        <w:pStyle w:val="[Normal]"/>
        <w:spacing w:line="360" w:lineRule="auto"/>
        <w:ind w:firstLine="1134"/>
        <w:jc w:val="both"/>
        <w:rPr>
          <w:lang w:val="es-AR" w:eastAsia="es-AR" w:bidi="es-AR"/>
        </w:rPr>
      </w:pPr>
      <w:r>
        <w:rPr>
          <w:lang w:val="es-AR" w:eastAsia="es-AR" w:bidi="es-AR"/>
        </w:rPr>
        <w:t xml:space="preserve">En sustento de su crítica recursiva, la parte actora expone los siguientes puntos de agravio:</w:t>
      </w:r>
    </w:p>
    <w:p>
      <w:pPr>
        <w:pStyle w:val="[Normal]"/>
        <w:spacing w:line="360" w:lineRule="auto"/>
        <w:ind w:firstLine="1134"/>
        <w:jc w:val="both"/>
        <w:rPr>
          <w:lang w:val="es-AR" w:eastAsia="es-AR" w:bidi="es-AR"/>
        </w:rPr>
      </w:pPr>
      <w:r>
        <w:rPr>
          <w:lang w:val="es-AR" w:eastAsia="es-AR" w:bidi="es-AR"/>
        </w:rPr>
        <w:t xml:space="preserve">1) Inadecuado encuadre jurídico de la responsabilidad atribuida a los condenados y, en consecuencia, errónea estructuración de la obligación de condena que debió haber recaído en su totalidad sobre cada uno de los responsables declarados en la sentencia apelada.</w:t>
      </w:r>
    </w:p>
    <w:p>
      <w:pPr>
        <w:pStyle w:val="[Normal]"/>
        <w:spacing w:line="360" w:lineRule="auto"/>
        <w:ind w:firstLine="1134"/>
        <w:jc w:val="both"/>
        <w:rPr>
          <w:lang w:val="es-AR" w:eastAsia="es-AR" w:bidi="es-AR"/>
        </w:rPr>
      </w:pPr>
      <w:r>
        <w:rPr>
          <w:lang w:val="es-AR" w:eastAsia="es-AR" w:bidi="es-AR"/>
        </w:rPr>
        <w:t xml:space="preserve">Fundamenta este agravio en que el juez de grado habría omitido aplicar en toda su extensión el régimen de responsabilidad objetiva derivado de la intervención de cosas riesgosas en accidentes de tránsito y de la condición de tercero transportado de la víctima.  Sostiene que todos los intervinientes deben responder frente a los damnificados por el todo, sin perjuicio de las eventuales acciones internas entre responsables, y que no se acreditaron eximentes idóneas en los términos de los arts. 1730, 1731, 1733 inc. e, 1757, 1758 y 1769 del Código Civil y Comercial.</w:t>
      </w:r>
    </w:p>
    <w:p>
      <w:pPr>
        <w:pStyle w:val="[Normal]"/>
        <w:spacing w:line="360" w:lineRule="auto"/>
        <w:ind w:firstLine="1134"/>
        <w:jc w:val="both"/>
        <w:rPr>
          <w:lang w:val="es-AR" w:eastAsia="es-AR" w:bidi="es-AR"/>
        </w:rPr>
      </w:pPr>
      <w:r>
        <w:rPr>
          <w:lang w:val="es-AR" w:eastAsia="es-AR" w:bidi="es-AR"/>
        </w:rPr>
        <w:t xml:space="preserve">2) Insuficiente cuantificación de la indemnización por fallecimiento y rechazo del rubro respecto del coactor Matías Ezequiel Luciani. </w:t>
      </w:r>
    </w:p>
    <w:p>
      <w:pPr>
        <w:pStyle w:val="[Normal]"/>
        <w:spacing w:line="360" w:lineRule="auto"/>
        <w:ind w:firstLine="1134"/>
        <w:jc w:val="both"/>
        <w:rPr>
          <w:lang w:val="es-AR" w:eastAsia="es-AR" w:bidi="es-AR"/>
        </w:rPr>
      </w:pPr>
      <w:r>
        <w:rPr>
          <w:lang w:val="es-AR" w:eastAsia="es-AR" w:bidi="es-AR"/>
        </w:rPr>
        <w:t xml:space="preserve">Funda su crítica en que la sentencia redujo la indemnización reconocida a la cónyuge sobre la base de que ésta percibía ingresos propios, extremo que según la recurrente- no autoriza a disminuir el valor resarcible derivado de la muerte del esposo. </w:t>
      </w:r>
    </w:p>
    <w:p>
      <w:pPr>
        <w:pStyle w:val="[Normal]"/>
        <w:spacing w:line="360" w:lineRule="auto"/>
        <w:ind w:firstLine="1134"/>
        <w:jc w:val="both"/>
        <w:rPr>
          <w:lang w:val="es-AR" w:eastAsia="es-AR" w:bidi="es-AR"/>
        </w:rPr>
      </w:pPr>
      <w:r>
        <w:rPr>
          <w:lang w:val="es-AR" w:eastAsia="es-AR" w:bidi="es-AR"/>
        </w:rPr>
        <w:t xml:space="preserve">Agrega que el rechazo del rubro respecto del hijo mayor de edad carece de sustento suficiente, pues la legitimación para reclamar no desaparece por contar con ingresos propios ni excluye la posibilidad de asistencia futura por parte del padre fallecido.</w:t>
      </w:r>
    </w:p>
    <w:p>
      <w:pPr>
        <w:pStyle w:val="[Normal]"/>
        <w:spacing w:line="360" w:lineRule="auto"/>
        <w:ind w:firstLine="1134"/>
        <w:jc w:val="both"/>
        <w:rPr>
          <w:lang w:val="es-AR" w:eastAsia="es-AR" w:bidi="es-AR"/>
        </w:rPr>
      </w:pPr>
      <w:r>
        <w:rPr>
          <w:lang w:val="es-AR" w:eastAsia="es-AR" w:bidi="es-AR"/>
        </w:rPr>
        <w:t xml:space="preserve">3) Cuantificación insuficiente del daño moral. </w:t>
      </w:r>
    </w:p>
    <w:p>
      <w:pPr>
        <w:pStyle w:val="[Normal]"/>
        <w:spacing w:line="360" w:lineRule="auto"/>
        <w:ind w:firstLine="1134"/>
        <w:jc w:val="both"/>
        <w:rPr>
          <w:lang w:val="es-AR" w:eastAsia="es-AR" w:bidi="es-AR"/>
        </w:rPr>
      </w:pPr>
      <w:r>
        <w:rPr>
          <w:lang w:val="es-AR" w:eastAsia="es-AR" w:bidi="es-AR"/>
        </w:rPr>
        <w:t xml:space="preserve">Aduce que las sumas fijadas por consecuencias no patrimoniales no reflejan adecuadamente la entidad del perjuicio padecido por la viuda y por el hijo de la víctima.  Señala, asimismo, que la sentencia habría brindado una fundamentación abstracta, sin ponderar debidamente la duración e intensidad del vínculo matrimonial, la condición de hijo único del coactor Matías Luciani, la forma súbita y traumática del fallecimiento y la finalidad compensatoria prevista por el art. 1741 del Código Civil y Comercial.</w:t>
      </w:r>
    </w:p>
    <w:p>
      <w:pPr>
        <w:pStyle w:val="[Normal]"/>
        <w:spacing w:line="360" w:lineRule="auto"/>
        <w:ind w:firstLine="1134"/>
        <w:jc w:val="both"/>
        <w:rPr>
          <w:lang w:val="es-AR" w:eastAsia="es-AR" w:bidi="es-AR"/>
        </w:rPr>
      </w:pPr>
      <w:r>
        <w:rPr>
          <w:lang w:val="es-AR" w:eastAsia="es-AR" w:bidi="es-AR"/>
        </w:rPr>
        <w:t xml:space="preserve">4) Rechazo indebido del rubro daño psicológico. Cuestiona que el juez de grado haya desestimado esta partida con apoyo en la pericia psicológica.  Sostiene que los informes fueron impugnados, que la experta no habría evacuado adecuadamente los cuestionamientos formulados y que existirían elementos suficientes para reconocer la existencia de secuelas psíquicas vinculadas con el fallecimiento de José Rafael Luciani, tanto respecto de Amabilia Julia Camocardi como de Matías Ezequiel Luciani.</w:t>
      </w:r>
    </w:p>
    <w:p>
      <w:pPr>
        <w:pStyle w:val="[Normal]"/>
        <w:spacing w:line="360" w:lineRule="auto"/>
        <w:ind w:firstLine="1134"/>
        <w:jc w:val="both"/>
        <w:rPr>
          <w:lang w:val="es-AR" w:eastAsia="es-AR" w:bidi="es-AR"/>
        </w:rPr>
      </w:pPr>
      <w:r>
        <w:rPr>
          <w:lang w:val="es-AR" w:eastAsia="es-AR" w:bidi="es-AR"/>
        </w:rPr>
        <w:t xml:space="preserve">5) Inadecuada tasa de interés y omisión de un mecanismo suficiente de recomposición del crédito. Afirma que la aplicación de una tasa pura del 6% anual desde el hecho hasta la sentencia, seguida luego por la tasa pasiva más alta del Banco Provincia, no permite preservar la integridad del crédito en un contexto de depreciación monetaria.  En esa línea, sostiene que debió considerarse el planteo de actualización formulado en demanda con apoyo en el precedente “Barrios” y en el principio de reparación plena del art. 1740 del Código Civil y Comercial.</w:t>
      </w:r>
    </w:p>
    <w:p>
      <w:pPr>
        <w:pStyle w:val="[Normal]"/>
        <w:spacing w:line="360" w:lineRule="auto"/>
        <w:ind w:firstLine="1134"/>
        <w:jc w:val="both"/>
        <w:rPr>
          <w:lang w:val="es-AR" w:eastAsia="es-AR" w:bidi="es-AR"/>
        </w:rPr>
      </w:pPr>
      <w:r>
        <w:rPr>
          <w:lang w:val="es-AR" w:eastAsia="es-AR" w:bidi="es-AR"/>
        </w:rPr>
        <w:t xml:space="preserve">6) Omisión de tratamiento suficiente del límite de cobertura. Plantea que la sentencia nada resolvió de modo concreto sobre el límite aplicable a la póliza que cubría el vehículo Ford Eco Sport dominio AA408QJ. Señala que ello genera un perjuicio actual o inminente, en tanto la condena podría superar el límite histórico denunciado, y solicita que se adopte el criterio de actualización del límite de cobertura conforme la doctrina legal que invoca.</w:t>
      </w:r>
    </w:p>
    <w:p>
      <w:pPr>
        <w:pStyle w:val="[Normal]"/>
        <w:spacing w:line="360" w:lineRule="auto"/>
        <w:ind w:firstLine="1134"/>
        <w:jc w:val="both"/>
        <w:rPr>
          <w:lang w:val="es-AR" w:eastAsia="es-AR" w:bidi="es-AR"/>
        </w:rPr>
      </w:pPr>
      <w:r>
        <w:rPr>
          <w:lang w:val="es-AR" w:eastAsia="es-AR" w:bidi="es-AR"/>
        </w:rPr>
        <w:t xml:space="preserve">A su turno, los codemandados Viviana Aurelia Velázquez, Hugo Osvaldo Méndez y de la citada en garantía Seguros Bernardino Rivadavia Cooperativa explicita la crítica constitutiva del recurso incoado contra el pronunciamiento de grado. A tal efecto, identifica los siguientes puntos críticos:</w:t>
      </w:r>
    </w:p>
    <w:p>
      <w:pPr>
        <w:pStyle w:val="[Normal]"/>
        <w:spacing w:line="360" w:lineRule="auto"/>
        <w:ind w:firstLine="1134"/>
        <w:jc w:val="both"/>
        <w:rPr>
          <w:lang w:val="es-AR" w:eastAsia="es-AR" w:bidi="es-AR"/>
        </w:rPr>
      </w:pPr>
      <w:r>
        <w:rPr>
          <w:lang w:val="es-AR" w:eastAsia="es-AR" w:bidi="es-AR"/>
        </w:rPr>
        <w:t xml:space="preserve">1) Errónea atribución de responsabilidad a la conductora del Ford Eco Sport. </w:t>
      </w:r>
    </w:p>
    <w:p>
      <w:pPr>
        <w:pStyle w:val="[Normal]"/>
        <w:spacing w:line="360" w:lineRule="auto"/>
        <w:ind w:firstLine="1134"/>
        <w:jc w:val="both"/>
        <w:rPr>
          <w:lang w:val="es-AR" w:eastAsia="es-AR" w:bidi="es-AR"/>
        </w:rPr>
      </w:pPr>
      <w:r>
        <w:rPr>
          <w:lang w:val="es-AR" w:eastAsia="es-AR" w:bidi="es-AR"/>
        </w:rPr>
        <w:t xml:space="preserve">Sustentan este agravio en que la sentencia habría reconocido que la maniobra desencadenante del siniestro provino del codemandado Emanuel Antonio Díaz, pero igualmente atribuyó a Velázquez un aporte causal parcial por haber realizado una maniobra evasiva hacia el carril contrario y no hacia la banquina de su propia mano. Sostienen que esa conclusión importa juzgar su conducta desde una perspectiva retrospectiva y abstracta, sin atender al contexto súbito, imprevisto y de extrema urgencia en que debió reaccionar.</w:t>
      </w:r>
    </w:p>
    <w:p>
      <w:pPr>
        <w:pStyle w:val="[Normal]"/>
        <w:spacing w:line="360" w:lineRule="auto"/>
        <w:ind w:firstLine="1134"/>
        <w:jc w:val="both"/>
        <w:rPr>
          <w:lang w:val="es-AR" w:eastAsia="es-AR" w:bidi="es-AR"/>
        </w:rPr>
      </w:pPr>
      <w:r>
        <w:rPr>
          <w:lang w:val="es-AR" w:eastAsia="es-AR" w:bidi="es-AR"/>
        </w:rPr>
        <w:t xml:space="preserve">2) No consideración del hecho exclusivo de un tercero como causal de eximición. </w:t>
      </w:r>
    </w:p>
    <w:p>
      <w:pPr>
        <w:pStyle w:val="[Normal]"/>
        <w:spacing w:line="360" w:lineRule="auto"/>
        <w:ind w:firstLine="1134"/>
        <w:jc w:val="both"/>
        <w:rPr>
          <w:lang w:val="es-AR" w:eastAsia="es-AR" w:bidi="es-AR"/>
        </w:rPr>
      </w:pPr>
      <w:r>
        <w:rPr>
          <w:lang w:val="es-AR" w:eastAsia="es-AR" w:bidi="es-AR"/>
        </w:rPr>
        <w:t xml:space="preserve">Alegan que la conducta de Díaz constituyó la causa única y adecuada del accidente, en tanto habría invadido el carril contrario y conducido de manera imprudente, negligente y riesgosa. Desde esa premisa, afirman que su obrar interrumpió totalmente el nexo causal respecto de Velázquez, Méndez y la aseguradora, por tratarse de un hecho de un tercero por quien no deben responder.</w:t>
      </w:r>
    </w:p>
    <w:p>
      <w:pPr>
        <w:pStyle w:val="[Normal]"/>
        <w:spacing w:line="360" w:lineRule="auto"/>
        <w:ind w:firstLine="1134"/>
        <w:jc w:val="both"/>
        <w:rPr>
          <w:lang w:val="es-AR" w:eastAsia="es-AR" w:bidi="es-AR"/>
        </w:rPr>
      </w:pPr>
      <w:r>
        <w:rPr>
          <w:lang w:val="es-AR" w:eastAsia="es-AR" w:bidi="es-AR"/>
        </w:rPr>
        <w:t xml:space="preserve">3) Omisión de ponderar adecuadamente las constancias de la causa penal y la situación procesal de Díaz. </w:t>
      </w:r>
    </w:p>
    <w:p>
      <w:pPr>
        <w:pStyle w:val="[Normal]"/>
        <w:spacing w:line="360" w:lineRule="auto"/>
        <w:ind w:firstLine="1134"/>
        <w:jc w:val="both"/>
        <w:rPr>
          <w:lang w:val="es-AR" w:eastAsia="es-AR" w:bidi="es-AR"/>
        </w:rPr>
      </w:pPr>
      <w:r>
        <w:rPr>
          <w:lang w:val="es-AR" w:eastAsia="es-AR" w:bidi="es-AR"/>
        </w:rPr>
        <w:t xml:space="preserve">Sostienen que los elementos colectados en sede penal, en particular las declaraciones testimoniales allí recibidas y el procesamiento del conductor del Renault 19, corroboran que el siniestro tuvo origen exclusivo en la conducción de Díaz. Sobre esa base, critican que el juez de grado no haya asignado a dichas constancias la eficacia suficiente para excluir toda responsabilidad de Velázquez.</w:t>
      </w:r>
    </w:p>
    <w:p>
      <w:pPr>
        <w:pStyle w:val="[Normal]"/>
        <w:spacing w:line="360" w:lineRule="auto"/>
        <w:ind w:firstLine="1134"/>
        <w:jc w:val="both"/>
        <w:rPr>
          <w:lang w:val="es-AR" w:eastAsia="es-AR" w:bidi="es-AR"/>
        </w:rPr>
      </w:pPr>
      <w:r>
        <w:rPr>
          <w:lang w:val="es-AR" w:eastAsia="es-AR" w:bidi="es-AR"/>
        </w:rPr>
        <w:t xml:space="preserve">4) Subsidiaria improcedencia de la condena contra Méndez y la aseguradora. Plantean que, si no correspondía atribuir responsabilidad civil a Velázquez por la producción del siniestro, tampoco puede subsistir condena contra Hugo Osvaldo Méndez, en su carácter de titular registral del vehículo, ni contra Seguros Bernardino Rivadavia Cooperativa Limitada, en su calidad de citada en garantía.</w:t>
      </w:r>
    </w:p>
    <w:p>
      <w:pPr>
        <w:pStyle w:val="[Normal]"/>
        <w:spacing w:line="360" w:lineRule="auto"/>
        <w:ind w:firstLine="1134"/>
        <w:jc w:val="both"/>
        <w:rPr>
          <w:lang w:val="es-AR" w:eastAsia="es-AR" w:bidi="es-AR"/>
        </w:rPr>
      </w:pPr>
      <w:r>
        <w:rPr>
          <w:lang w:val="es-AR" w:eastAsia="es-AR" w:bidi="es-AR"/>
        </w:rPr>
        <w:t xml:space="preserve">Por su parte, la crítica recursiva del codemandado Emanuel Antonio Díaz puede ser reducida a los siguientes aspectos críticos:</w:t>
      </w:r>
    </w:p>
    <w:p>
      <w:pPr>
        <w:pStyle w:val="[Normal]"/>
        <w:spacing w:line="360" w:lineRule="auto"/>
        <w:ind w:firstLine="1134"/>
        <w:jc w:val="both"/>
        <w:rPr>
          <w:lang w:val="es-AR" w:eastAsia="es-AR" w:bidi="es-AR"/>
        </w:rPr>
      </w:pPr>
      <w:r>
        <w:rPr>
          <w:lang w:val="es-AR" w:eastAsia="es-AR" w:bidi="es-AR"/>
        </w:rPr>
        <w:t xml:space="preserve">1) Errónea atribución de responsabilidad causal a Díaz.</w:t>
      </w:r>
    </w:p>
    <w:p>
      <w:pPr>
        <w:pStyle w:val="[Normal]"/>
        <w:spacing w:line="360" w:lineRule="auto"/>
        <w:ind w:firstLine="1134"/>
        <w:jc w:val="both"/>
        <w:rPr>
          <w:lang w:val="es-AR" w:eastAsia="es-AR" w:bidi="es-AR"/>
        </w:rPr>
      </w:pPr>
      <w:r>
        <w:rPr>
          <w:lang w:val="es-AR" w:eastAsia="es-AR" w:bidi="es-AR"/>
        </w:rPr>
        <w:t xml:space="preserve">Concentran este agravio en que la sentencia habría valorado incorrectamente la pericia mecánica obrante en la causa penal, especialmente en lo relativo al lugar de impacto y a la localización de los daños en ambos vehículos. Sostiene, además, que tales elementos indicarían que la colisión se produjo en la mano de circulación del Renault 19, extremo que -según su postura resulta incompatible con la versión aceptada por el juez de grado y excluye, o al menos reduce sustancialmente, su aporte causal.</w:t>
      </w:r>
    </w:p>
    <w:p>
      <w:pPr>
        <w:pStyle w:val="[Normal]"/>
        <w:spacing w:line="360" w:lineRule="auto"/>
        <w:ind w:firstLine="1134"/>
        <w:jc w:val="both"/>
        <w:rPr>
          <w:lang w:val="es-AR" w:eastAsia="es-AR" w:bidi="es-AR"/>
        </w:rPr>
      </w:pPr>
      <w:r>
        <w:rPr>
          <w:lang w:val="es-AR" w:eastAsia="es-AR" w:bidi="es-AR"/>
        </w:rPr>
        <w:t xml:space="preserve">2) Inadecuada valoración de la prueba testimonial.</w:t>
      </w:r>
    </w:p>
    <w:p>
      <w:pPr>
        <w:pStyle w:val="[Normal]"/>
        <w:spacing w:line="360" w:lineRule="auto"/>
        <w:ind w:firstLine="1134"/>
        <w:jc w:val="both"/>
        <w:rPr>
          <w:lang w:val="es-AR" w:eastAsia="es-AR" w:bidi="es-AR"/>
        </w:rPr>
      </w:pPr>
      <w:r>
        <w:rPr>
          <w:lang w:val="es-AR" w:eastAsia="es-AR" w:bidi="es-AR"/>
        </w:rPr>
        <w:t xml:space="preserve">Afirma que el juez otorgó indebida prevalencia a los dichos de las testigos Velo y Broglia, pese a que sus relatos resultarían incompatibles con la prueba técnica y con la ubicación de los daños en los rodados. Agrega que, por tratarse de acompañantes de la víctima, sus declaraciones debieron ser ponderadas con especial prudencia conforme las reglas de la sana crítica.</w:t>
      </w:r>
    </w:p>
    <w:p>
      <w:pPr>
        <w:pStyle w:val="[Normal]"/>
        <w:spacing w:line="360" w:lineRule="auto"/>
        <w:ind w:firstLine="1134"/>
        <w:jc w:val="both"/>
        <w:rPr>
          <w:lang w:val="es-AR" w:eastAsia="es-AR" w:bidi="es-AR"/>
        </w:rPr>
      </w:pPr>
      <w:r>
        <w:rPr>
          <w:lang w:val="es-AR" w:eastAsia="es-AR" w:bidi="es-AR"/>
        </w:rPr>
        <w:t xml:space="preserve">En su hora, la parte actora contestó los agravios de Velázquez, Méndez y Seguros Bernardino Rivadavia solicitando su rechazo. </w:t>
      </w:r>
    </w:p>
    <w:p>
      <w:pPr>
        <w:pStyle w:val="[Normal]"/>
        <w:spacing w:line="360" w:lineRule="auto"/>
        <w:ind w:firstLine="1134"/>
        <w:jc w:val="both"/>
        <w:rPr>
          <w:lang w:val="es-AR" w:eastAsia="es-AR" w:bidi="es-AR"/>
        </w:rPr>
      </w:pPr>
      <w:r>
        <w:rPr>
          <w:lang w:val="es-AR" w:eastAsia="es-AR" w:bidi="es-AR"/>
        </w:rPr>
        <w:t xml:space="preserve">Sostuvo que la responsabilidad de la conductora del Ford Eco Sport no debía examinarse desde la culpa, sino desde el régimen objetivo aplicable por la intervención de una cosa riesgosa y por el transporte de la víctima, de modo que los recurrentes no podían eximirse con la sola invocación del hecho de Díaz. Agregó que el hecho del tercero sólo libera si reúne los caracteres del caso fortuito y si no constituye una contingencia propia del riesgo de la cosa o de la actividad, extremos que -según afirmó- no fueron acreditados.</w:t>
      </w:r>
    </w:p>
    <w:p>
      <w:pPr>
        <w:pStyle w:val="[Normal]"/>
        <w:spacing w:line="360" w:lineRule="auto"/>
        <w:ind w:firstLine="1134"/>
        <w:jc w:val="both"/>
        <w:rPr>
          <w:lang w:val="es-AR" w:eastAsia="es-AR" w:bidi="es-AR"/>
        </w:rPr>
      </w:pPr>
      <w:r>
        <w:rPr>
          <w:lang w:val="es-AR" w:eastAsia="es-AR" w:bidi="es-AR"/>
        </w:rPr>
        <w:t xml:space="preserve">También rechazó la utilización de la causa penal y del instituto del estado de necesidad como vías de exoneración.  En lo sustancial, afirmó que ninguno de esos argumentos desplaza la responsabilidad objetiva de Velázquez, Méndez y la aseguradora frente a los damnificados, y reiteró que aquéllos deben responder de manera concurrente por el todo, sin perjuicio de las eventuales acciones internas entre responsables.</w:t>
      </w:r>
    </w:p>
    <w:p>
      <w:pPr>
        <w:pStyle w:val="[Normal]"/>
        <w:spacing w:line="360" w:lineRule="auto"/>
        <w:ind w:firstLine="1134"/>
        <w:jc w:val="both"/>
        <w:rPr>
          <w:lang w:val="es-AR" w:eastAsia="es-AR" w:bidi="es-AR"/>
        </w:rPr>
      </w:pPr>
      <w:r>
        <w:rPr>
          <w:lang w:val="es-AR" w:eastAsia="es-AR" w:bidi="es-AR"/>
        </w:rPr>
        <w:t xml:space="preserve">Respecto del recurso de Emanuel Antonio Díaz, la actora reprodujo, en lo pertinente, la misma línea argumental: sostuvo que Díaz participó en el hecho con una cosa riesgosa, que tenía la carga de probar una eximente idónea y que no lo hizo. Añadió que sus críticas a la mecánica del accidente y al rubro indemnización por fallecimiento traducen una mera disconformidad con lo resuelto, sin configurar una crítica concreta y razonada, y pidió que también se rechace su apelación, con costas.</w:t>
      </w:r>
    </w:p>
    <w:p>
      <w:pPr>
        <w:pStyle w:val="[Normal]"/>
        <w:spacing w:line="360" w:lineRule="auto"/>
        <w:ind w:firstLine="1134"/>
        <w:jc w:val="both"/>
        <w:rPr>
          <w:lang w:val="es-AR" w:eastAsia="es-AR" w:bidi="es-AR"/>
        </w:rPr>
      </w:pPr>
      <w:r>
        <w:rPr>
          <w:lang w:val="es-AR" w:eastAsia="es-AR" w:bidi="es-AR"/>
        </w:rPr>
        <w:t xml:space="preserve">Por su lado, la citada en garantía, al contestar el traslado del recurso de Díaz, sostuvo en primer lugar que su expresión de agravios no satisfacía la carga del art. 260 del CPCC, por limitarse a disentir con la valoración de la pericia mecánica y de las constancias de la causa penal. Señaló que la prueba técnica no podía ser leída aisladamente ni con la precisión absoluta pretendida por el apelante, especialmente frente al estado de destrucción de los vehículos y al resto de los elementos probatorios.</w:t>
      </w:r>
    </w:p>
    <w:p>
      <w:pPr>
        <w:pStyle w:val="[Normal]"/>
        <w:spacing w:line="360" w:lineRule="auto"/>
        <w:ind w:firstLine="1134"/>
        <w:jc w:val="both"/>
        <w:rPr>
          <w:lang w:val="es-AR" w:eastAsia="es-AR" w:bidi="es-AR"/>
        </w:rPr>
      </w:pPr>
      <w:r>
        <w:rPr>
          <w:lang w:val="es-AR" w:eastAsia="es-AR" w:bidi="es-AR"/>
        </w:rPr>
        <w:t xml:space="preserve">A su vez, defendió la fuerza convictiva de las declaraciones testimoniales que ubicaban el origen del siniestro en la conducta de Díaz, a quien atribuyó la maniobra inicial, imprudente y negligente. </w:t>
      </w:r>
    </w:p>
    <w:p>
      <w:pPr>
        <w:pStyle w:val="[Normal]"/>
        <w:spacing w:line="360" w:lineRule="auto"/>
        <w:ind w:firstLine="1134"/>
        <w:jc w:val="both"/>
        <w:rPr>
          <w:lang w:val="es-AR" w:eastAsia="es-AR" w:bidi="es-AR"/>
        </w:rPr>
      </w:pPr>
      <w:r>
        <w:rPr>
          <w:lang w:val="es-AR" w:eastAsia="es-AR" w:bidi="es-AR"/>
        </w:rPr>
        <w:t xml:space="preserve">Sobre esa base, solicitó que se revoque la sentencia en cuanto responsabilizó parcialmente a Velázquez, Méndez y la aseguradora, y que se asigne la totalidad de la responsabilidad al conductor del Renault 19. En forma accesoria, adhirió a la crítica de Díaz respecto de la cuantificación de la indemnización por fallecimiento, por considerarla excesiva e insuficientemente fundada.</w:t>
      </w:r>
    </w:p>
    <w:p>
      <w:pPr>
        <w:pStyle w:val="[Normal]"/>
        <w:spacing w:line="360" w:lineRule="auto"/>
        <w:ind w:firstLine="1134"/>
        <w:jc w:val="both"/>
        <w:rPr>
          <w:lang w:val="es-AR" w:eastAsia="es-AR" w:bidi="es-AR"/>
        </w:rPr>
      </w:pPr>
      <w:r>
        <w:rPr>
          <w:lang w:val="es-AR" w:eastAsia="es-AR" w:bidi="es-AR"/>
        </w:rPr>
        <w:t xml:space="preserve">Finalmente, al contestar los agravios de la actora, la citada en garantía sostuvo que los actores parten de un enfoque equivocado al reclamar una tutela preferente como damnificados, pues -según su postura- Velázquez y Méndez también resultaron perjudicados por el hecho generado por Díaz.  Insistió en que la causa adecuada del accidente fue la conducta de este último y que, por ello, no corresponde extender responsabilidad a la conductora del Ford, al titular registral ni a la aseguradora.</w:t>
      </w:r>
    </w:p>
    <w:p>
      <w:pPr>
        <w:pStyle w:val="[Normal]"/>
        <w:spacing w:line="360" w:lineRule="auto"/>
        <w:ind w:firstLine="1134"/>
        <w:jc w:val="both"/>
        <w:rPr>
          <w:lang w:val="es-AR" w:eastAsia="es-AR" w:bidi="es-AR"/>
        </w:rPr>
      </w:pPr>
      <w:r>
        <w:rPr>
          <w:lang w:val="es-AR" w:eastAsia="es-AR" w:bidi="es-AR"/>
        </w:rPr>
        <w:t xml:space="preserve">En particular, rechazó la invocación del art. 1733 inc. e del Código Civil y Comercial, por entender que esa norma se vincula con el caso fortuito o la imposibilidad de cumplimiento, mientras que su defensa se apoyó en la existencia de una causa ajena configurada por la culpa de un tercero.  Por tal razón, pidió el rechazo de los agravios actorales y la revocación de la condena dictada contra Velázquez, Méndez y Seguros Bernardino Rivadavia.</w:t>
      </w:r>
    </w:p>
    <w:p>
      <w:pPr>
        <w:pStyle w:val="[Normal]"/>
        <w:spacing w:line="360" w:lineRule="auto"/>
        <w:ind w:firstLine="1134"/>
        <w:jc w:val="both"/>
        <w:rPr>
          <w:lang w:val="es-AR" w:eastAsia="es-AR" w:bidi="es-AR"/>
        </w:rPr>
      </w:pPr>
      <w:r>
        <w:rPr>
          <w:lang w:val="es-AR" w:eastAsia="es-AR" w:bidi="es-AR"/>
        </w:rPr>
        <w:t xml:space="preserve">Entrando a resolver, cabe señalar que la cuestión litigiosa sometida a revisión no se vincula, en lo sustancial, con la ocurrencia material del siniestro, el fallecimiento de José Rafael Luciani ni la legitimación activa de los reclamantes, extremos que llegan a esta instancia sin una controversia autónoma relevante. </w:t>
      </w:r>
    </w:p>
    <w:p>
      <w:pPr>
        <w:pStyle w:val="[Normal]"/>
        <w:spacing w:line="360" w:lineRule="auto"/>
        <w:ind w:firstLine="1134"/>
        <w:jc w:val="both"/>
        <w:rPr>
          <w:lang w:val="es-AR" w:eastAsia="es-AR" w:bidi="es-AR"/>
        </w:rPr>
      </w:pPr>
      <w:r>
        <w:rPr>
          <w:lang w:val="es-AR" w:eastAsia="es-AR" w:bidi="es-AR"/>
        </w:rPr>
        <w:t xml:space="preserve">El núcleo del debate recursivo se concentra, antes bien, en determinar si la sentencia apelada efectuó un adecuado encuadre jurídico y causal del accidente, especialmente en cuanto distribuyó la responsabilidad entre Emanuel Antonio Díaz, por un lado, y Viviana Aurelia Velázquez, Hugo Osvaldo Méndez y la citada en garantía, por el otro.</w:t>
      </w:r>
    </w:p>
    <w:p>
      <w:pPr>
        <w:pStyle w:val="[Normal]"/>
        <w:spacing w:line="360" w:lineRule="auto"/>
        <w:ind w:firstLine="1134"/>
        <w:jc w:val="both"/>
        <w:rPr>
          <w:lang w:val="es-AR" w:eastAsia="es-AR" w:bidi="es-AR"/>
        </w:rPr>
      </w:pPr>
      <w:r>
        <w:rPr>
          <w:lang w:val="es-AR" w:eastAsia="es-AR" w:bidi="es-AR"/>
        </w:rPr>
        <w:t xml:space="preserve">Desde esa perspectiva, el primer eje de revisión consiste en establecer si el hecho dañoso debe ser atribuido causalmente a ambos vehículos intervinientes, como lo decidió el juez de grado, o si, por el contrario, corresponde admitir alguna de las eximentes invocadas por los demandados apelantes.  En particular, Díaz cuestiona que se le haya asignado responsabilidad con apoyo en una valoración que estima errónea de la pericia mecánica y de los testimonios; mientras que Velázquez, Méndez y la aseguradora sostienen que el obrar de Díaz constituyó la causa exclusiva del accidente y que la maniobra de Velázquez fue una reacción justificada frente a una situación de emergencia.</w:t>
      </w:r>
    </w:p>
    <w:p>
      <w:pPr>
        <w:pStyle w:val="[Normal]"/>
        <w:spacing w:line="360" w:lineRule="auto"/>
        <w:ind w:firstLine="1134"/>
        <w:jc w:val="both"/>
        <w:rPr>
          <w:lang w:val="es-AR" w:eastAsia="es-AR" w:bidi="es-AR"/>
        </w:rPr>
      </w:pPr>
      <w:r>
        <w:rPr>
          <w:lang w:val="es-AR" w:eastAsia="es-AR" w:bidi="es-AR"/>
        </w:rPr>
        <w:t xml:space="preserve">El segundo eje consiste en determinar, en caso de mantenerse la responsabilidad de más de un interviniente, cuál es la correcta estructura obligacional frente a los damnificados. La actora cuestiona que la distribución porcentual de responsabilidad haya sido proyectada sobre su crédito indemnizatorio, pues entiende que, frente a la víctima y sus herederos reclamantes, la obligación debe ser tratada como concurrente por el todo, sin perjuicio de las acciones de regreso o distribución interna entre los responsables.</w:t>
      </w:r>
    </w:p>
    <w:p>
      <w:pPr>
        <w:pStyle w:val="[Normal]"/>
        <w:spacing w:line="360" w:lineRule="auto"/>
        <w:ind w:firstLine="1134"/>
        <w:jc w:val="both"/>
        <w:rPr>
          <w:lang w:val="es-AR" w:eastAsia="es-AR" w:bidi="es-AR"/>
        </w:rPr>
      </w:pPr>
      <w:r>
        <w:rPr>
          <w:lang w:val="es-AR" w:eastAsia="es-AR" w:bidi="es-AR"/>
        </w:rPr>
        <w:t xml:space="preserve">Finalmente, sólo en caso de confirmarse total o parcialmente la procedencia de la responsabilidad civil, corresponde ingresar al examen de los agravios vinculados con la extensión de la reparación. Allí deberán revisarse la procedencia y cuantificación de la indemnización por fallecimiento, las consecuencias no patrimoniales, el daño psicológico, la tasa de interés o mecanismo de recomposición del crédito y el alcance de la condena respecto de la citada en garantía, incluido el tratamiento del límite de cobertura denunciado.</w:t>
      </w:r>
    </w:p>
    <w:p>
      <w:pPr>
        <w:pStyle w:val="[Normal]"/>
        <w:spacing w:line="360" w:lineRule="auto"/>
        <w:ind w:firstLine="1134"/>
        <w:jc w:val="both"/>
        <w:rPr>
          <w:lang w:val="es-AR" w:eastAsia="es-AR" w:bidi="es-AR"/>
        </w:rPr>
      </w:pPr>
      <w:r>
        <w:rPr>
          <w:lang w:val="es-AR" w:eastAsia="es-AR" w:bidi="es-AR"/>
        </w:rPr>
        <w:t xml:space="preserve">A nivel metodológico, la revisión no seguirá una separación rígida y absoluta entre los recursos de la parte actora y de las partes demandadas, pues varios de los aspectos críticos introducidos por unos y otros convergen sobre núcleos problemáticos comunes.  Por tal razón, los agravios serán examinados según su vinculación temática y lógica, tratando de manera consecutiva aquellos que incidan sobre una misma cuestión decisiva.</w:t>
      </w:r>
    </w:p>
    <w:p>
      <w:pPr>
        <w:pStyle w:val="[Normal]"/>
        <w:spacing w:line="360" w:lineRule="auto"/>
        <w:ind w:firstLine="1134"/>
        <w:jc w:val="both"/>
        <w:rPr>
          <w:lang w:val="es-AR" w:eastAsia="es-AR" w:bidi="es-AR"/>
        </w:rPr>
      </w:pPr>
      <w:r>
        <w:rPr>
          <w:lang w:val="es-AR" w:eastAsia="es-AR" w:bidi="es-AR"/>
        </w:rPr>
        <w:t xml:space="preserve">1) Como punto de partida, cabe señalar que la plataforma fáctica básica del caso se encuentra suficientemente acreditada. De las constancias de la causa penal PE-867-2025, caratulada </w:t>
      </w:r>
      <w:r>
        <w:rPr>
          <w:i/>
          <w:lang w:val="es-AR" w:eastAsia="es-AR" w:bidi="es-AR"/>
        </w:rPr>
        <w:t xml:space="preserve">“Díaz Emanuel Antonio s/ homicidio culposo calificado, lesiones culposas graves, lesiones culposas calificadas, lesiones culposas”</w:t>
      </w:r>
      <w:r>
        <w:rPr>
          <w:lang w:val="es-AR" w:eastAsia="es-AR" w:bidi="es-AR"/>
        </w:rPr>
        <w:t xml:space="preserve">, del Juzgado en lo Correccional Penal N° 1 Departamental, tenida a la vista en la instancia de origen mediante acceso al sistema SIMP, surge que el hecho ocurrió el día 9 de marzo de 2024, en Ruta Provincial N° 51, a la altura aproximada del kilómetro 27, con intervención del Ford Eco Sport dominio AA408QJ, conducido por Viviana Aurelia Velázquez, y del Renault 19 dominio BLP092, conducido por Emanuel Antonio Díaz.  En el acta de procedimiento de fecha 09/03/2024 se dejó constancia, además, del fallecimiento de José Rafael Luciani, quien viajaba como tercero transportado en el Ford. La titularidad de Díaz respecto del Renault surge del informe de dominio agregado a la presentación electrónica del 25/02/2025, mientras que no fue controvertida la titularidad de Hugo Osvaldo Méndez sobre el Ford.</w:t>
      </w:r>
    </w:p>
    <w:p>
      <w:pPr>
        <w:pStyle w:val="[Normal]"/>
        <w:spacing w:line="360" w:lineRule="auto"/>
        <w:ind w:firstLine="1134"/>
        <w:jc w:val="both"/>
        <w:rPr>
          <w:lang w:val="es-AR" w:eastAsia="es-AR" w:bidi="es-AR"/>
        </w:rPr>
      </w:pPr>
      <w:r>
        <w:rPr>
          <w:lang w:val="es-AR" w:eastAsia="es-AR" w:bidi="es-AR"/>
        </w:rPr>
        <w:t xml:space="preserve">Entiendo que el encuadre jurídico general adoptado por la sentencia apelada resulta, en lo sustancial, correcto. Tratándose de un accidente de tránsito con intervención de vehículos en movimiento, corresponde aplicar el régimen de responsabilidad objetiva derivado del riesgo de la cosa, conforme los arts. 1722, 1757, 1758 y 1769 del Código Civil y Comercial.  Ello no importa prescindir del análisis causal, pues quien pretende eximirse total o parcialmente debe acreditar la existencia de una causa ajena con aptitud interruptiva del nexo causal.  En ese sentido, también es correcta la premisa de la sentencia según la cual la condición de tercero transportado de la víctima habilita a dirigir la acción contra uno o ambos dueños o guardianes de los vehículos intervinientes, sin imponerle la carga inicial de reconstruir la mecánica del hecho, aunque ello no impide que los demandados acrediten eximentes totales o parciales.</w:t>
      </w:r>
    </w:p>
    <w:p>
      <w:pPr>
        <w:pStyle w:val="[Normal]"/>
        <w:spacing w:line="360" w:lineRule="auto"/>
        <w:ind w:firstLine="1134"/>
        <w:jc w:val="both"/>
        <w:rPr>
          <w:lang w:val="es-AR" w:eastAsia="es-AR" w:bidi="es-AR"/>
        </w:rPr>
      </w:pPr>
      <w:r>
        <w:rPr>
          <w:lang w:val="es-AR" w:eastAsia="es-AR" w:bidi="es-AR"/>
        </w:rPr>
        <w:t xml:space="preserve">En lo que respecta a la prueba técnica, debe individualizarse especialmente el informe pericial accidentológico producido en sede penal por la experta en accidentología vial, fechado el 08/07/2025 e incorporado en el trámite del 14/07/2025 de la causa penal antes referida.  Dicho informe fue elaborado sobre la base del relevamiento de indicios accidentológicos, el relevamiento planimétrico y las imágenes digitales obrantes en la investigación.  La perito indicó que el Ford circulaba por Ruta Provincial N° 51 en dirección sur-norte, hacia Ramallo, mientras que el Renault lo hacía por la misma calzada en dirección norte-sur, hacia La Violeta.  También ubicó la zona de impacto, salvo nuevos elementos, en el espacio inmediato a la posición final de las unidades, en el sector límite conformado por el carril norte-sur de la ruta y su banquina oeste.</w:t>
      </w:r>
    </w:p>
    <w:p>
      <w:pPr>
        <w:pStyle w:val="[Normal]"/>
        <w:spacing w:line="360" w:lineRule="auto"/>
        <w:ind w:firstLine="1134"/>
        <w:jc w:val="both"/>
        <w:rPr>
          <w:lang w:val="es-AR" w:eastAsia="es-AR" w:bidi="es-AR"/>
        </w:rPr>
      </w:pPr>
      <w:r>
        <w:rPr>
          <w:lang w:val="es-AR" w:eastAsia="es-AR" w:bidi="es-AR"/>
        </w:rPr>
        <w:t xml:space="preserve">La misma pericia describió los daños del Ford en el sector frontolateral derecho y los del Renault sobre su frente derecho, concluyendo que la secuencia de contacto más probable colocaba al Renault circulando por su carril norte-sur, con su frente derecho dirigiéndose hacia el carril opuesto, y al Ford en el carril contrario al de su circulación, retomando nuevamente hacia su mano.  Sobre esa base, la experta calificó la colisión del Renault como frontal excéntrica derecha y la del Ford como frontolateral derecha.</w:t>
      </w:r>
    </w:p>
    <w:p>
      <w:pPr>
        <w:pStyle w:val="[Normal]"/>
        <w:spacing w:line="360" w:lineRule="auto"/>
        <w:ind w:firstLine="1134"/>
        <w:jc w:val="both"/>
        <w:rPr>
          <w:lang w:val="es-AR" w:eastAsia="es-AR" w:bidi="es-AR"/>
        </w:rPr>
      </w:pPr>
      <w:r>
        <w:rPr>
          <w:lang w:val="es-AR" w:eastAsia="es-AR" w:bidi="es-AR"/>
        </w:rPr>
        <w:t xml:space="preserve">Esta prueba técnica favorece parcialmente la postura de Díaz en un punto acotado: el impacto se produjo en el carril correspondiente al Renault y el Ford se hallaba, al momento crítico, en el carril opuesto al de su circulación. Pero de ello no se sigue, como pretende dicho apelante, que la causa eficiente del accidente haya sido exclusivamente la conducta de Velázquez.  La pericia determina el punto de impacto, los sectores dañados y una secuencia probable de contacto, pero no agota la reconstrucción causal de los momentos inmediatamente anteriores al choque.</w:t>
      </w:r>
    </w:p>
    <w:p>
      <w:pPr>
        <w:pStyle w:val="[Normal]"/>
        <w:spacing w:line="360" w:lineRule="auto"/>
        <w:ind w:firstLine="1134"/>
        <w:jc w:val="both"/>
        <w:rPr>
          <w:lang w:val="es-AR" w:eastAsia="es-AR" w:bidi="es-AR"/>
        </w:rPr>
      </w:pPr>
      <w:r>
        <w:rPr>
          <w:lang w:val="es-AR" w:eastAsia="es-AR" w:bidi="es-AR"/>
        </w:rPr>
        <w:t xml:space="preserve">Para completar esa reconstrucción resultan relevantes las declaraciones testimoniales rendidas en sede penal por Ana Elena Velo y María de los Ángeles Broglia, ambas transportadas en el Ford Eco Sport. La sentencia individualiza esas declaraciones como prestadas en fechas 18/04/2024 y 25/04/2024, respectivamente.  Velo sostuvo que vio un automóvil gris que, de repente, se vino a la mano por la que circulaba el Ford, enfrentándolos, y que ante ello Velázquez pegó un volantazo hacia su izquierda para evitar el impacto; agregó que luego el auto gris volvió a desplazarse hacia el mismo lado y los impactó sobre el sector del acompañante. Broglia, en sentido concordante, declaró que vio al Renault cruzarse de la nada hacia la mano del Ford, que Velázquez intentó esquivarlo abriéndose hacia su izquierda y que el otro vehículo se vino directamente hacia ellos.</w:t>
      </w:r>
    </w:p>
    <w:p>
      <w:pPr>
        <w:pStyle w:val="[Normal]"/>
        <w:spacing w:line="360" w:lineRule="auto"/>
        <w:ind w:firstLine="1134"/>
        <w:jc w:val="both"/>
        <w:rPr>
          <w:lang w:val="es-AR" w:eastAsia="es-AR" w:bidi="es-AR"/>
        </w:rPr>
      </w:pPr>
      <w:r>
        <w:rPr>
          <w:lang w:val="es-AR" w:eastAsia="es-AR" w:bidi="es-AR"/>
        </w:rPr>
        <w:t xml:space="preserve">La condición de Velo y Broglia como acompañantes de la víctima exigía valorar sus dichos con prudencia, pero no autorizaba a descartarlos sin más.  Sus declaraciones fueron coincidentes en el aspecto central de la secuencia: la maniobra evasiva de Velázquez tuvo como antecedente inmediato la irrupción del Renault en la mano de circulación del Ford.  Esa coincidencia, además, no aparece aislada, sino corroborada periféricamente por otros testimonios recibidos en la causa penal.</w:t>
      </w:r>
    </w:p>
    <w:p>
      <w:pPr>
        <w:pStyle w:val="[Normal]"/>
        <w:spacing w:line="360" w:lineRule="auto"/>
        <w:ind w:firstLine="1134"/>
        <w:jc w:val="both"/>
        <w:rPr>
          <w:lang w:val="es-AR" w:eastAsia="es-AR" w:bidi="es-AR"/>
        </w:rPr>
      </w:pPr>
      <w:r>
        <w:rPr>
          <w:lang w:val="es-AR" w:eastAsia="es-AR" w:bidi="es-AR"/>
        </w:rPr>
        <w:t xml:space="preserve">En efecto, la sentencia valoró las declaraciones de Fabián José Ferrandis, Diego José Serra, César Darío Pachioni y Mauro Rossi, contenidas en archivo adjunto al trámite del 29/07/2025 de la causa penal, quienes relataron que regresaban en bicicleta a Ramallo y observaron un Renault 19 que, a elevada velocidad, cruzó en diagonal la Ruta Provincial N° 51, pudiendo luego identificarlo con el rodado coprotagonista del accidente. En la contestación de agravios de la citada se agrega también la referencia a Rodolfo Manuel Sbuttoni, dentro del mismo grupo de ciclistas, y se destaca que esos testigos describieron una conducción errática o zigzagueante, a velocidad elevada y con invasión intempestiva de carril.</w:t>
      </w:r>
    </w:p>
    <w:p>
      <w:pPr>
        <w:pStyle w:val="[Normal]"/>
        <w:spacing w:line="360" w:lineRule="auto"/>
        <w:ind w:firstLine="1134"/>
        <w:jc w:val="both"/>
        <w:rPr>
          <w:lang w:val="es-AR" w:eastAsia="es-AR" w:bidi="es-AR"/>
        </w:rPr>
      </w:pPr>
      <w:r>
        <w:rPr>
          <w:lang w:val="es-AR" w:eastAsia="es-AR" w:bidi="es-AR"/>
        </w:rPr>
        <w:t xml:space="preserve">A estas constancias se suma la audiencia testimonial registrada mediante acta de fecha 07/11/2025, incorporada al expediente bajo soporte audiovisual. </w:t>
      </w:r>
    </w:p>
    <w:p>
      <w:pPr>
        <w:pStyle w:val="[Normal]"/>
        <w:spacing w:line="360" w:lineRule="auto"/>
        <w:ind w:firstLine="1134"/>
        <w:jc w:val="both"/>
        <w:rPr>
          <w:lang w:val="es-AR" w:eastAsia="es-AR" w:bidi="es-AR"/>
        </w:rPr>
      </w:pPr>
      <w:r>
        <w:rPr>
          <w:lang w:val="es-AR" w:eastAsia="es-AR" w:bidi="es-AR"/>
        </w:rPr>
        <w:t xml:space="preserve">Valorado el conjunto probatorio bajo las reglas de la sana crítica, he de concluir que la sentencia acertó al rechazar las exoneraciones totales pretendidas por ambos grupos demandados, pero no ponderó adecuadamente la intensidad relativa de los aportes causales.  El impacto se produjo en el carril correspondiente al Renault, extremo que impide liberar por completo a Velázquez, Méndez y la citada en garantía; pero la situación de riesgo fue generada de modo predominante por la conducción previa de Díaz, quien venía circulando de manera irregular, errática y con invasiones de carril, provocando la reacción evasiva de la conductora del Ford.</w:t>
      </w:r>
    </w:p>
    <w:p>
      <w:pPr>
        <w:pStyle w:val="[Normal]"/>
        <w:spacing w:line="360" w:lineRule="auto"/>
        <w:ind w:firstLine="1134"/>
        <w:jc w:val="both"/>
        <w:rPr>
          <w:lang w:val="es-AR" w:eastAsia="es-AR" w:bidi="es-AR"/>
        </w:rPr>
      </w:pPr>
      <w:r>
        <w:rPr>
          <w:lang w:val="es-AR" w:eastAsia="es-AR" w:bidi="es-AR"/>
        </w:rPr>
        <w:t xml:space="preserve">Desde esa perspectiva, los agravios de Díaz deben ser rechazados. Su argumento se estructura sobre una lectura parcial de la pericia accidentológica, al pretender que la ubicación del impacto en su carril excluya toda incidencia causal propia.  Sin embargo, la prueba testimonial permite reconstruir que esa ubicación fue consecuencia de una secuencia dinámica iniciada por su propio desplazamiento antirreglamentario hacia la mano del Ford.  La pericia no desmiente esa hipótesis; antes bien, describe una colisión ocurrida luego de maniobras de aproximación y corrección de trayectoria de ambos rodados, lo que impide reducir el análisis causal al punto material de contacto.</w:t>
      </w:r>
    </w:p>
    <w:p>
      <w:pPr>
        <w:pStyle w:val="[Normal]"/>
        <w:spacing w:line="360" w:lineRule="auto"/>
        <w:ind w:firstLine="1134"/>
        <w:jc w:val="both"/>
        <w:rPr>
          <w:lang w:val="es-AR" w:eastAsia="es-AR" w:bidi="es-AR"/>
        </w:rPr>
      </w:pPr>
      <w:r>
        <w:rPr>
          <w:lang w:val="es-AR" w:eastAsia="es-AR" w:bidi="es-AR"/>
        </w:rPr>
        <w:t xml:space="preserve">Tampoco prospera el agravio relativo a la supuesta indebida valoración de las declaraciones de Velo y Broglia.  Sus testimonios no fueron considerados de manera aislada, sino en conexión con el informe accidentológico y con los dichos de los ciclistas que advirtieron, minutos antes, una conducción anormal del Renault 19.  La convergencia entre esos elementos permite tener por acreditado que el obrar de Díaz fue el antecedente causal principal del accidente.</w:t>
      </w:r>
    </w:p>
    <w:p>
      <w:pPr>
        <w:pStyle w:val="[Normal]"/>
        <w:spacing w:line="360" w:lineRule="auto"/>
        <w:ind w:firstLine="1134"/>
        <w:jc w:val="both"/>
        <w:rPr>
          <w:lang w:val="es-AR" w:eastAsia="es-AR" w:bidi="es-AR"/>
        </w:rPr>
      </w:pPr>
      <w:r>
        <w:rPr>
          <w:lang w:val="es-AR" w:eastAsia="es-AR" w:bidi="es-AR"/>
        </w:rPr>
        <w:t xml:space="preserve">Por su parte, los agravios de Velázquez, Méndez y la citada en garantía sólo merecen recepción parcial.  Les asiste razón en cuanto sostienen que la sentencia juzgó con excesiva severidad la maniobra evasiva de Velázquez si se atiende al contexto súbito y extraordinario en que debió reaccionar.  No puede exigirse a quien enfrenta en ruta la irrupción de otro vehículo en su carril una respuesta ideal, medida con la serenidad propia de un análisis retrospectivo.  En ese punto, el obrar de Díaz aparece como la causa preponderante, pues fue quien creó el estado de peligro que desencadenó la maniobra posterior del Ford.</w:t>
      </w:r>
    </w:p>
    <w:p>
      <w:pPr>
        <w:pStyle w:val="[Normal]"/>
        <w:spacing w:line="360" w:lineRule="auto"/>
        <w:ind w:firstLine="1134"/>
        <w:jc w:val="both"/>
        <w:rPr>
          <w:lang w:val="es-AR" w:eastAsia="es-AR" w:bidi="es-AR"/>
        </w:rPr>
      </w:pPr>
      <w:r>
        <w:rPr>
          <w:lang w:val="es-AR" w:eastAsia="es-AR" w:bidi="es-AR"/>
        </w:rPr>
        <w:t xml:space="preserve">Al respecto, es menester señalar que la relación de causalidad jurídicamente relevante no se edifica sobre una noción estrictamente material de causa, puesto que no es suficiente con que el daño reconozca una razón determinante en el orden físico.  </w:t>
      </w:r>
      <w:r>
        <w:rPr>
          <w:color w:val="000000"/>
          <w:lang w:val="es-AR" w:eastAsia="es-AR" w:bidi="es-AR"/>
        </w:rPr>
        <w:t xml:space="preserve">El análisis jurídico despega de la causalidad natural, pero estructura el nexo causal en torno al obrar humano. (Cf. MOREA, Adrián Oscar, La relación de causalidad en el nuevo derecho de daños. Publicado en Ed. Microjuris. Fecha: 29-abr-2014. Cita: MJ-DOC-6690-AR | MJD6690).</w:t>
      </w:r>
    </w:p>
    <w:p>
      <w:pPr>
        <w:pStyle w:val="[Normal]"/>
        <w:spacing w:line="360" w:lineRule="auto"/>
        <w:ind w:firstLine="1134"/>
        <w:jc w:val="both"/>
        <w:rPr>
          <w:color w:val="000000"/>
          <w:lang w:val="es-AR" w:eastAsia="es-AR" w:bidi="es-AR"/>
        </w:rPr>
      </w:pPr>
      <w:r>
        <w:rPr>
          <w:lang w:val="es-AR" w:eastAsia="es-AR" w:bidi="es-AR"/>
        </w:rPr>
        <w:t xml:space="preserve">Tampoco el derecho argentino parte de una noción jurídica pura de causalidad, en el sentido de que la causalidad jurídica también debe contar con un correlato real insoslayable.  Así pues la causalidad adecuada trasunta un concepto híbrido que integra valoraciones jurídicas con datos de la realidad fáctica (Cf. </w:t>
      </w:r>
      <w:r>
        <w:rPr>
          <w:color w:val="000000"/>
          <w:lang w:val="es-AR" w:eastAsia="es-AR" w:bidi="es-AR"/>
        </w:rPr>
        <w:t xml:space="preserve">DIEZ PICAZO, Luis, Derecho de daños, Madrid, Ed. Civitas, 2000, pag. 322). </w:t>
      </w:r>
    </w:p>
    <w:p>
      <w:pPr>
        <w:pStyle w:val="[Normal]"/>
        <w:spacing w:line="360" w:lineRule="auto"/>
        <w:ind w:firstLine="1134"/>
        <w:jc w:val="both"/>
        <w:rPr>
          <w:color w:val="000000"/>
          <w:lang w:val="es-AR" w:eastAsia="es-AR" w:bidi="es-AR"/>
        </w:rPr>
      </w:pPr>
      <w:r>
        <w:rPr>
          <w:color w:val="000000"/>
          <w:lang w:val="es-AR" w:eastAsia="es-AR" w:bidi="es-AR"/>
        </w:rPr>
        <w:t xml:space="preserve">Esto ha conducido al iusfilósofo polaco Emil Lask ha sostener que </w:t>
      </w:r>
      <w:r>
        <w:rPr>
          <w:i/>
          <w:color w:val="000000"/>
          <w:lang w:val="es-AR" w:eastAsia="es-AR" w:bidi="es-AR"/>
        </w:rPr>
        <w:t xml:space="preserve">"el carácter de adecuabilidad jurídicamente relevante de una causalidad puede ser establecido únicamente sobre la base de criterios prácticos, asentados en consideraciones de oportunidad y de justicia; por ejemplo -como acontece frecuentemente en la literatura civil y penal-, de acuerdo con la ´previsibilidad´ o ´calculabilidad´ del resultado, que se determina mediante prognosis objetiva posterior"</w:t>
      </w:r>
      <w:r>
        <w:rPr>
          <w:color w:val="000000"/>
          <w:lang w:val="es-AR" w:eastAsia="es-AR" w:bidi="es-AR"/>
        </w:rPr>
        <w:t xml:space="preserve"> (LASK, Emil, Filosofía jurídica, Ed. Ediciones Olejnik, Chile, 2021, pag. 68).</w:t>
      </w:r>
    </w:p>
    <w:p>
      <w:pPr>
        <w:pStyle w:val="[Normal]"/>
        <w:spacing w:line="360" w:lineRule="auto"/>
        <w:ind w:firstLine="1134"/>
        <w:jc w:val="both"/>
        <w:rPr>
          <w:lang w:val="es-AR" w:eastAsia="es-AR" w:bidi="es-AR"/>
        </w:rPr>
      </w:pPr>
      <w:r>
        <w:rPr>
          <w:color w:val="000000"/>
          <w:lang w:val="es-AR" w:eastAsia="es-AR" w:bidi="es-AR"/>
        </w:rPr>
        <w:t xml:space="preserve">En este sentido, es cierto que </w:t>
      </w:r>
      <w:r>
        <w:rPr>
          <w:lang w:val="es-AR" w:eastAsia="es-AR" w:bidi="es-AR"/>
        </w:rPr>
        <w:t xml:space="preserve">no corresponde que los operadores del derecho evalúen la situación desde un punto de vista diferente al que tuvo aquel sujeto que expuesto a un riesgo en la etapa crítica. Sería ilógico pretender, con base en una visión ex post de los hechos, que quien se vio expuesto inculpablemente a un peligro realice una actuación que no estuvo en condiciones de prever desde la posición en que se encontraba en la fase agravatoria del daño.</w:t>
      </w:r>
    </w:p>
    <w:p>
      <w:pPr>
        <w:pStyle w:val="[Normal]"/>
        <w:spacing w:line="360" w:lineRule="auto"/>
        <w:ind w:firstLine="1134"/>
        <w:jc w:val="both"/>
        <w:rPr>
          <w:lang w:val="es-AR" w:eastAsia="es-AR" w:bidi="es-AR"/>
        </w:rPr>
      </w:pPr>
      <w:r>
        <w:rPr>
          <w:lang w:val="es-AR" w:eastAsia="es-AR" w:bidi="es-AR"/>
        </w:rPr>
        <w:t xml:space="preserve">Sin embargo, en el caso concreto, ello no autoriza a excluir totalmente la responsabilidad de Velázquez, Méndez y la aseguradora.  La pericia accidentológica ubica al Ford, al momento del siniestro, en el carril opuesto al de su circulación, y la propia secuencia aceptada muestra que esa maniobra integró causalmente el resultado final.  La reacción puede ser explicable e incluso comprensible en el marco de la emergencia, pero no por ello pierde toda relevancia causal frente al daño producido.  En consecuencia, el hecho de Díaz opera como causa ajena parcial, no como eximente total.</w:t>
      </w:r>
    </w:p>
    <w:p>
      <w:pPr>
        <w:pStyle w:val="[Normal]"/>
        <w:spacing w:line="360" w:lineRule="auto"/>
        <w:ind w:firstLine="1134"/>
        <w:jc w:val="both"/>
        <w:rPr>
          <w:lang w:val="es-AR" w:eastAsia="es-AR" w:bidi="es-AR"/>
        </w:rPr>
      </w:pPr>
      <w:r>
        <w:rPr>
          <w:lang w:val="es-AR" w:eastAsia="es-AR" w:bidi="es-AR"/>
        </w:rPr>
        <w:t xml:space="preserve">Si bien no existe una regla legal que, con carácter absoluto y mecánico, imponga al conductor desplazarse siempre hacia la derecha cuando otro vehículo invade su carril de circulación, sí surge del régimen de tránsito una pauta normativa clara: los vehículos deben circular sobre la derecha, en el sentido señalizado, conservando su conductor el dominio efectivo del rodado y ejecutando cualquier maniobra con cuidado y prevención.</w:t>
      </w:r>
    </w:p>
    <w:p>
      <w:pPr>
        <w:pStyle w:val="[Normal]"/>
        <w:spacing w:line="360" w:lineRule="auto"/>
        <w:ind w:firstLine="1134"/>
        <w:jc w:val="both"/>
        <w:rPr>
          <w:lang w:val="es-AR" w:eastAsia="es-AR" w:bidi="es-AR"/>
        </w:rPr>
      </w:pPr>
      <w:r>
        <w:rPr>
          <w:lang w:val="es-AR" w:eastAsia="es-AR" w:bidi="es-AR"/>
        </w:rPr>
        <w:t xml:space="preserve">Desde esa perspectiva, frente a la invasión imprevista del carril propio por un vehículo que circula en sentido contrario, la conducta normalmente esperable -si las circunstancias concretas lo permiten- es conservar o recuperar la derecha de la calzada, incluso mediante el uso excepcional de la banquina en caso de emergencia.  Por el contrario, el desplazamiento hacia la izquierda, con ingreso al carril de circulación contrario, constituye una maniobra objetivamente riesgosa, que sólo puede ser valorada en función del contexto súbito en que fue adoptada.</w:t>
      </w:r>
    </w:p>
    <w:p>
      <w:pPr>
        <w:pStyle w:val="[Normal]"/>
        <w:spacing w:line="360" w:lineRule="auto"/>
        <w:ind w:firstLine="1134"/>
        <w:jc w:val="both"/>
        <w:rPr>
          <w:lang w:val="es-AR" w:eastAsia="es-AR" w:bidi="es-AR"/>
        </w:rPr>
      </w:pPr>
      <w:r>
        <w:rPr>
          <w:lang w:val="es-AR" w:eastAsia="es-AR" w:bidi="es-AR"/>
        </w:rPr>
        <w:t xml:space="preserve">En consecuencia, la reacción de Velázquez no puede ser juzgada como si hubiera contado con tiempo suficiente para elegir serenamente la alternativa más segura; pero tampoco puede ser considerada causalmente neutra.  La emergencia generada por Díaz explica y atenúa la maniobra evasiva, mas no elimina por completo la incidencia causal derivada de haber llevado el Ford Eco Sport hacia la mano de circulación contraria, donde finalmente se produjo la colisión.</w:t>
      </w:r>
    </w:p>
    <w:p>
      <w:pPr>
        <w:pStyle w:val="[Normal]"/>
        <w:spacing w:line="360" w:lineRule="auto"/>
        <w:ind w:firstLine="1134"/>
        <w:jc w:val="both"/>
        <w:rPr>
          <w:lang w:val="es-AR" w:eastAsia="es-AR" w:bidi="es-AR"/>
        </w:rPr>
      </w:pPr>
      <w:r>
        <w:rPr>
          <w:lang w:val="es-AR" w:eastAsia="es-AR" w:bidi="es-AR"/>
        </w:rPr>
        <w:t xml:space="preserve">La referencia a la causa penal y a la situación procesal de Díaz tampoco permite arribar a una solución distinta. La investigación penal, el acta de procedimiento del 09/03/2024, las declaraciones allí recibidas, el informe pericial del 08/07/2025 y las constancias agregadas en los trámites del 14/07/2025 y 29/07/2025 constituyen elementos relevantes para reconstruir la mecánica del hecho.  Pero la eventual atribución penal de responsabilidad al conductor del Renault no define por sí sola la extensión de la responsabilidad civil objetiva de los restantes intervinientes, la cual debe ser determinada conforme los arts. 1722, 1757, 1758 y 1769 del Código Civil y Comercial.</w:t>
      </w:r>
    </w:p>
    <w:p>
      <w:pPr>
        <w:pStyle w:val="[Normal]"/>
        <w:spacing w:line="360" w:lineRule="auto"/>
        <w:ind w:firstLine="1134"/>
        <w:jc w:val="both"/>
        <w:rPr>
          <w:lang w:val="es-AR" w:eastAsia="es-AR" w:bidi="es-AR"/>
        </w:rPr>
      </w:pPr>
      <w:r>
        <w:rPr>
          <w:lang w:val="es-AR" w:eastAsia="es-AR" w:bidi="es-AR"/>
        </w:rPr>
        <w:t xml:space="preserve">Por las mismas razones, tampoco resulta suficiente la invocación del estado de necesidad del art. 1718 inc. c del Código Civil y Comercial.  La maniobra de Velázquez puede ser examinada como una reacción defensiva frente a un peligro actual generado por Díaz, y ello justifica reducir sensiblemente su incidencia causal. Pero, insisto, no elimina por completo la intervención causal del Ford Eco Sport en el resultado dañoso, especialmente cuando la colisión se produjo en el carril contrario al que correspondía a su circulación.</w:t>
      </w:r>
    </w:p>
    <w:p>
      <w:pPr>
        <w:pStyle w:val="[Normal]"/>
        <w:spacing w:line="360" w:lineRule="auto"/>
        <w:ind w:firstLine="1134"/>
        <w:jc w:val="both"/>
        <w:rPr>
          <w:lang w:val="es-AR" w:eastAsia="es-AR" w:bidi="es-AR"/>
        </w:rPr>
      </w:pPr>
      <w:r>
        <w:rPr>
          <w:lang w:val="es-AR" w:eastAsia="es-AR" w:bidi="es-AR"/>
        </w:rPr>
        <w:t xml:space="preserve">Así delimitada la mecánica del hecho, corresponde modificar la distribución causal establecida en la instancia de origen.  El porcentaje del 60% atribuido a Díaz no refleja adecuadamente la intensidad de su aporte causal, pues fue su conducción irregular la que generó la situación crítica, obligó a Velázquez a adoptar una maniobra evasiva en segundos y explica la invasión posterior del carril contrario por parte del Ford.  La conducta de Velázquez, aunque causalmente relevante, aparece subordinada y reactiva frente a aquel riesgo inicial.</w:t>
      </w:r>
    </w:p>
    <w:p>
      <w:pPr>
        <w:pStyle w:val="[Normal]"/>
        <w:spacing w:line="360" w:lineRule="auto"/>
        <w:ind w:firstLine="1134"/>
        <w:jc w:val="both"/>
        <w:rPr>
          <w:lang w:val="es-AR" w:eastAsia="es-AR" w:bidi="es-AR"/>
        </w:rPr>
      </w:pPr>
      <w:r>
        <w:rPr>
          <w:lang w:val="es-AR" w:eastAsia="es-AR" w:bidi="es-AR"/>
        </w:rPr>
        <w:t xml:space="preserve">Por ello, corresponde atribuir a Emanuel Antonio Díaz el 70% de la responsabilidad causal en la producción del daño y a Viviana Aurelia Velázquez y Hugo Osvaldo Méndez, con extensión a Seguros Bernardino Rivadavia Cooperativa Limitada en los términos del contrato de seguro, el 30% restante.  Esta solución permite reconocer la gravitación predominante del obrar de Díaz sin convertir la reacción imprudente de Velázquez en una causa jurídicamente irrelevante.</w:t>
      </w:r>
    </w:p>
    <w:p>
      <w:pPr>
        <w:pStyle w:val="[Normal]"/>
        <w:spacing w:line="360" w:lineRule="auto"/>
        <w:ind w:firstLine="1134"/>
        <w:jc w:val="both"/>
        <w:rPr>
          <w:lang w:val="es-AR" w:eastAsia="es-AR" w:bidi="es-AR"/>
        </w:rPr>
      </w:pPr>
      <w:r>
        <w:rPr>
          <w:lang w:val="es-AR" w:eastAsia="es-AR" w:bidi="es-AR"/>
        </w:rPr>
        <w:t xml:space="preserve">2) Sentado ello, corresponde abordar el agravio de la parte actora referido a la estructura obligacional de la condena.</w:t>
      </w:r>
    </w:p>
    <w:p>
      <w:pPr>
        <w:pStyle w:val="[Normal]"/>
        <w:spacing w:line="360" w:lineRule="auto"/>
        <w:ind w:firstLine="1134"/>
        <w:jc w:val="both"/>
        <w:rPr>
          <w:lang w:val="es-AR" w:eastAsia="es-AR" w:bidi="es-AR"/>
        </w:rPr>
      </w:pPr>
      <w:r>
        <w:rPr>
          <w:lang w:val="es-AR" w:eastAsia="es-AR" w:bidi="es-AR"/>
        </w:rPr>
        <w:t xml:space="preserve">La crítica debe prosperar.</w:t>
      </w:r>
    </w:p>
    <w:p>
      <w:pPr>
        <w:pStyle w:val="[Normal]"/>
        <w:spacing w:line="360" w:lineRule="auto"/>
        <w:ind w:firstLine="1134"/>
        <w:jc w:val="both"/>
        <w:rPr>
          <w:lang w:val="es-AR" w:eastAsia="es-AR" w:bidi="es-AR"/>
        </w:rPr>
      </w:pPr>
      <w:r>
        <w:rPr>
          <w:lang w:val="es-AR" w:eastAsia="es-AR" w:bidi="es-AR"/>
        </w:rPr>
        <w:t xml:space="preserve">En efecto, una vez admitido que tanto el Renault 19 conducido por Emanuel Antonio Díaz como el Ford Eco Sport conducido por Viviana Aurelia Velázquez intervinieron causalmente en la producción del daño, no corresponde trasladar a los damnificados la distribución porcentual de la incidencia causal atribuida a cada uno de los centros de imputación.  Esa distribución resulta necesaria para ordenar la relación interna entre los responsables, pero no para limitar el crédito indemnizatorio de la víctima o de sus damnificados indirectos.</w:t>
      </w:r>
    </w:p>
    <w:p>
      <w:pPr>
        <w:pStyle w:val="[Normal]"/>
        <w:spacing w:line="360" w:lineRule="auto"/>
        <w:ind w:firstLine="1134"/>
        <w:jc w:val="both"/>
        <w:rPr>
          <w:lang w:val="es-AR" w:eastAsia="es-AR" w:bidi="es-AR"/>
        </w:rPr>
      </w:pPr>
      <w:r>
        <w:rPr>
          <w:lang w:val="es-AR" w:eastAsia="es-AR" w:bidi="es-AR"/>
        </w:rPr>
        <w:t xml:space="preserve">El art. 1751 del Código Civil y Comercial establece que, si varias personas participan en la producción del daño que tiene una causa única, se aplican las reglas de las obligaciones solidarias; y si la pluralidad deriva de causas distintas, se aplican las reglas de las obligaciones concurrentes.  La distinción puede tener relevancia en la relación interna entre deudores, en el régimen de contribución o en la configuración técnica de la obligación; pero no autoriza, frente al damnificado, a fraccionar el crédito resarcitorio cuando el daño es único y ha sido producido por la intervención causal jurídicamente relevante de más de un responsable.</w:t>
      </w:r>
    </w:p>
    <w:p>
      <w:pPr>
        <w:pStyle w:val="[Normal]"/>
        <w:spacing w:line="360" w:lineRule="auto"/>
        <w:ind w:firstLine="1134"/>
        <w:jc w:val="both"/>
        <w:rPr>
          <w:lang w:val="es-AR" w:eastAsia="es-AR" w:bidi="es-AR"/>
        </w:rPr>
      </w:pPr>
      <w:r>
        <w:rPr>
          <w:lang w:val="es-AR" w:eastAsia="es-AR" w:bidi="es-AR"/>
        </w:rPr>
        <w:t xml:space="preserve">Aun si se entendiera que en el caso concurren causas distintas -por un lado, la conducción irregular de Díaz; por otro, la maniobra evasiva de Velázquez hacia el carril contrario-, la consecuencia no sería la división del crédito frente a los actores, sino la configuración de obligaciones concurrentes.  En tal supuesto, el art. 850 del Código Civil y Comercial define la obligación concurrente como aquella en la que varios deudores deben el mismo objeto por causas diferentes, y el art. 851 inc. a) reconoce al acreedor el derecho a requerir el pago a uno, varios o todos los deudores, simultánea o sucesivamente.</w:t>
      </w:r>
    </w:p>
    <w:p>
      <w:pPr>
        <w:pStyle w:val="[Normal]"/>
        <w:spacing w:line="360" w:lineRule="auto"/>
        <w:ind w:firstLine="1134"/>
        <w:jc w:val="both"/>
        <w:rPr>
          <w:lang w:val="es-AR" w:eastAsia="es-AR" w:bidi="es-AR"/>
        </w:rPr>
      </w:pPr>
      <w:r>
        <w:rPr>
          <w:lang w:val="es-AR" w:eastAsia="es-AR" w:bidi="es-AR"/>
        </w:rPr>
        <w:t xml:space="preserve">Por ello, no resulta adecuado afirmar que el porcentaje causal asignado a cada demandado sea oponible a los actores como límite de condena.  Tal conclusión sólo sería admisible si se hubiera acreditado una causa ajena total, o bien una eximente parcial con aptitud suficiente para excluir un tramo del daño de la esfera jurídica de responsabilidad de uno de los centros de imputación.  Pero no es eso lo que surge de la valoración probatoria efectuada.  Por el contrario, se ha concluido que ambos vehículos participaron causalmente en la producción de un mismo resultado dañoso: la muerte de José Rafael Luciani.</w:t>
      </w:r>
    </w:p>
    <w:p>
      <w:pPr>
        <w:pStyle w:val="[Normal]"/>
        <w:spacing w:line="360" w:lineRule="auto"/>
        <w:ind w:firstLine="1134"/>
        <w:jc w:val="both"/>
        <w:rPr>
          <w:lang w:val="es-AR" w:eastAsia="es-AR" w:bidi="es-AR"/>
        </w:rPr>
      </w:pPr>
      <w:r>
        <w:rPr>
          <w:lang w:val="es-AR" w:eastAsia="es-AR" w:bidi="es-AR"/>
        </w:rPr>
        <w:t xml:space="preserve">La mayor gravitación causal de Díaz justifica que, en la relación interna entre responsables, se le atribuya el 70% de incidencia, quedando el 30% restante a cargo de Velázquez y Méndez.  Sin embargo, esa ponderación no transforma el perjuicio en dos daños autónomos ni habilita a que los damnificados soporten el riesgo de insolvencia, incumplimiento o insuficiencia patrimonial de alguno de los responsables.  La reparación plena impone que, frente a los actores, todos los responsables civilmente demandados respondan por la totalidad del daño, sin perjuicio de las acciones de contribución, repetición o regreso que pudieren corresponder entre ellos conforme la distribución causal aquí fijada.</w:t>
      </w:r>
    </w:p>
    <w:p>
      <w:pPr>
        <w:pStyle w:val="[Normal]"/>
        <w:spacing w:line="360" w:lineRule="auto"/>
        <w:ind w:firstLine="1134"/>
        <w:jc w:val="both"/>
        <w:rPr>
          <w:lang w:val="es-AR" w:eastAsia="es-AR" w:bidi="es-AR"/>
        </w:rPr>
      </w:pPr>
      <w:r>
        <w:rPr>
          <w:lang w:val="es-AR" w:eastAsia="es-AR" w:bidi="es-AR"/>
        </w:rPr>
        <w:t xml:space="preserve">Esta solución se refuerza si se atiende a la condición de José Rafael Luciani como tercero transportado en uno de los vehículos intervinientes.  Esa calidad no convierte a los demandados en responsables absolutos ni impide examinar eximentes; pero sí impone evitar que la víctima o sus damnificados indirectos carguen con las dificultades propias de la reconstrucción interna de la causalidad entre los distintos intervinientes del accidente.  Probada la intervención causal de ambos vehículos en un daño único, la distribución porcentual debe operar entre los obligados, no contra los acreedores resarcitorios.</w:t>
      </w:r>
    </w:p>
    <w:p>
      <w:pPr>
        <w:pStyle w:val="[Normal]"/>
        <w:spacing w:line="360" w:lineRule="auto"/>
        <w:ind w:firstLine="1134"/>
        <w:jc w:val="both"/>
        <w:rPr>
          <w:lang w:val="es-AR" w:eastAsia="es-AR" w:bidi="es-AR"/>
        </w:rPr>
      </w:pPr>
      <w:r>
        <w:rPr>
          <w:lang w:val="es-AR" w:eastAsia="es-AR" w:bidi="es-AR"/>
        </w:rPr>
        <w:t xml:space="preserve">En consecuencia, corresponde hacer lugar al agravio de la parte actora en este punto y modificar la sentencia apelada, estableciendo que Emanuel Antonio Díaz, Viviana Aurelia Velázquez y Hugo Osvaldo Méndez deberán responder frente a Amabilia Julia Camocardi y Matías Ezequiel Luciani por la totalidad de los daños reconocidos en esta sentencia, en forma solidaria o concurrente según corresponda a la calificación jurídica de la pluralidad causal en los términos del art. 1751 del Código Civil y Comercial.  Ello, sin perjuicio de fijar a los fines de la contribución interna entre responsables, una incidencia causal del 70% a cargo de Emanuel Antonio Díaz y del 30% a cargo de Viviana Aurelia Velázquez y Hugo Osvaldo Méndez.</w:t>
      </w:r>
    </w:p>
    <w:p>
      <w:pPr>
        <w:pStyle w:val="[Normal]"/>
        <w:spacing w:line="360" w:lineRule="auto"/>
        <w:ind w:firstLine="1134"/>
        <w:jc w:val="both"/>
        <w:rPr>
          <w:lang w:val="es-AR" w:eastAsia="es-AR" w:bidi="es-AR"/>
        </w:rPr>
      </w:pPr>
      <w:r>
        <w:rPr>
          <w:lang w:val="es-AR" w:eastAsia="es-AR" w:bidi="es-AR"/>
        </w:rPr>
        <w:t xml:space="preserve">La condena contra Seguros Bernardino Rivadavia Cooperativa Limitada se mantiene en la medida del seguro, conforme el art. 118 de la Ley de Seguros y con el alcance que se precisará al tratar el límite de cobertura.</w:t>
      </w:r>
    </w:p>
    <w:p>
      <w:pPr>
        <w:pStyle w:val="[Normal]"/>
        <w:spacing w:line="360" w:lineRule="auto"/>
        <w:ind w:firstLine="1134"/>
        <w:jc w:val="both"/>
        <w:rPr>
          <w:lang w:val="es-AR" w:eastAsia="es-AR" w:bidi="es-AR"/>
        </w:rPr>
      </w:pPr>
      <w:r>
        <w:rPr>
          <w:lang w:val="es-AR" w:eastAsia="es-AR" w:bidi="es-AR"/>
        </w:rPr>
        <w:t xml:space="preserve">II. Definida la responsabilidad atribuible a cada centro de imputación y establecida la medida causal en que deberán responder los condenados, corresponde ingresar al tratamiento de los agravios vinculados con la extensión de la reparación que fuera expresado por la parte actora.</w:t>
      </w:r>
    </w:p>
    <w:p>
      <w:pPr>
        <w:pStyle w:val="[Normal]"/>
        <w:spacing w:line="360" w:lineRule="auto"/>
        <w:ind w:firstLine="1134"/>
        <w:jc w:val="both"/>
        <w:rPr>
          <w:lang w:val="es-AR" w:eastAsia="es-AR" w:bidi="es-AR"/>
        </w:rPr>
      </w:pPr>
      <w:r>
        <w:rPr>
          <w:lang w:val="es-AR" w:eastAsia="es-AR" w:bidi="es-AR"/>
        </w:rPr>
        <w:t xml:space="preserve">1) El primer cuestionamiento en este plano refiere a la indemnización por fallecimiento prevista en el art. 1745 del Código Civil y Comercial.  La parte actora controvierte, por un lado, la suma reconocida a favor de la cónyuge supérstite, Amabilia Julia Camocardi, por considerarla insuficiente; y, por otro, el rechazo del rubro respecto del hijo de la víctima, Matías Ezequiel Luciani.</w:t>
      </w:r>
    </w:p>
    <w:p>
      <w:pPr>
        <w:pStyle w:val="[Normal]"/>
        <w:spacing w:line="360" w:lineRule="auto"/>
        <w:ind w:firstLine="1134"/>
        <w:jc w:val="both"/>
        <w:rPr>
          <w:lang w:val="es-AR" w:eastAsia="es-AR" w:bidi="es-AR"/>
        </w:rPr>
      </w:pPr>
      <w:r>
        <w:rPr>
          <w:lang w:val="es-AR" w:eastAsia="es-AR" w:bidi="es-AR"/>
        </w:rPr>
        <w:t xml:space="preserve">El agravio exige distinguir ambos reclamos.  En el caso de la cónyuge, la cuestión se centra en verificar si la suma fijada por el juez de grado refleja razonablemente la pérdida de asistencia económica derivada del fallecimiento de José Rafael Luciani.  En cambio, respecto del hijo mayor de edad, corresponde examinar previamente si se acreditó un perjuicio patrimonial concreto o una chance cierta de asistencia futura que justifique la procedencia del rubro.</w:t>
      </w:r>
    </w:p>
    <w:p>
      <w:pPr>
        <w:pStyle w:val="[Normal]"/>
        <w:spacing w:line="360" w:lineRule="auto"/>
        <w:ind w:firstLine="1134"/>
        <w:jc w:val="both"/>
        <w:rPr>
          <w:lang w:val="es-AR" w:eastAsia="es-AR" w:bidi="es-AR"/>
        </w:rPr>
      </w:pPr>
      <w:r>
        <w:rPr>
          <w:lang w:val="es-AR" w:eastAsia="es-AR" w:bidi="es-AR"/>
        </w:rPr>
        <w:t xml:space="preserve">Adelanto que la crítica no puede prosperar.</w:t>
      </w:r>
    </w:p>
    <w:p>
      <w:pPr>
        <w:pStyle w:val="[Normal]"/>
        <w:spacing w:line="360" w:lineRule="auto"/>
        <w:ind w:firstLine="1134"/>
        <w:jc w:val="both"/>
        <w:rPr>
          <w:lang w:val="es-AR" w:eastAsia="es-AR" w:bidi="es-AR"/>
        </w:rPr>
      </w:pPr>
      <w:r>
        <w:rPr>
          <w:lang w:val="es-AR" w:eastAsia="es-AR" w:bidi="es-AR"/>
        </w:rPr>
        <w:t xml:space="preserve">En primer lugar, cabe precisar que la indemnización patrimonial por fallecimiento no tiene por objeto asignar un valor económico abstracto a la vida humana, ni fijar una suma única e invariable con independencia de la situación concreta de cada damnificado indirecto.  Lo resarcible, en este plano, son las consecuencias patrimoniales que la muerte de la víctima proyecta sobre quienes recibían o podían razonablemente recibir de ella asistencia económica.  Por eso, el art. 1745 inc. b del Código Civil y Comercial remite a </w:t>
      </w:r>
      <w:r>
        <w:rPr>
          <w:i/>
          <w:lang w:val="es-AR" w:eastAsia="es-AR" w:bidi="es-AR"/>
        </w:rPr>
        <w:t xml:space="preserve">“lo necesario para alimentos”</w:t>
      </w:r>
      <w:r>
        <w:rPr>
          <w:lang w:val="es-AR" w:eastAsia="es-AR" w:bidi="es-AR"/>
        </w:rPr>
        <w:t xml:space="preserve"> del cónyuge, conviviente e hijos allí comprendidos, y manda ponderar el tiempo probable de vida de la víctima, sus condiciones personales y las de los reclamantes.</w:t>
      </w:r>
    </w:p>
    <w:p>
      <w:pPr>
        <w:pStyle w:val="[Normal]"/>
        <w:spacing w:line="360" w:lineRule="auto"/>
        <w:ind w:firstLine="1134"/>
        <w:jc w:val="both"/>
        <w:rPr>
          <w:lang w:val="es-AR" w:eastAsia="es-AR" w:bidi="es-AR"/>
        </w:rPr>
      </w:pPr>
      <w:r>
        <w:rPr>
          <w:lang w:val="es-AR" w:eastAsia="es-AR" w:bidi="es-AR"/>
        </w:rPr>
        <w:t xml:space="preserve">Desde esa perspectiva, no resulta atendible la afirmación de la actora según la cual el cálculo debía realizarse sobre el 100% de los ingresos del fallecido, sin considerar las condiciones económicas de la cónyuge supérstite.  La propia norma aplicable impone atender a la situación personal y patrimonial de quien reclama, pues la reparación se vincula con la pérdida de sostén o ayuda concretamente sufrida.  En consecuencia, la existencia de ingresos propios de Amabilia Julia Camocardi no excluye la procedencia del rubro, pero sí puede ser ponderada para determinar la medida de la asistencia económica frustrada.</w:t>
      </w:r>
    </w:p>
    <w:p>
      <w:pPr>
        <w:pStyle w:val="[Normal]"/>
        <w:spacing w:line="360" w:lineRule="auto"/>
        <w:ind w:firstLine="1134"/>
        <w:jc w:val="both"/>
        <w:rPr>
          <w:lang w:val="es-AR" w:eastAsia="es-AR" w:bidi="es-AR"/>
        </w:rPr>
      </w:pPr>
      <w:r>
        <w:rPr>
          <w:lang w:val="es-AR" w:eastAsia="es-AR" w:bidi="es-AR"/>
        </w:rPr>
        <w:t xml:space="preserve">La sentencia apelada valoró que José Rafael Luciani falleció el 09/03/2024 a los 69 años de edad, que percibía un haber jubilatorio mínimo de $169.870,10 a la fecha del deceso, y que la actora Camocardi contaba con una fuente propia de ingresos en su condición de jubilada. Sobre esa base, utilizó como parámetro el haber jubilatorio mínimo vigente al momento de sentenciar, computó un período de ocho años en función de la expectativa de vida ponderada y estimó un aporte del 60%, arribando a la suma de $19.409.741,76.</w:t>
      </w:r>
    </w:p>
    <w:p>
      <w:pPr>
        <w:pStyle w:val="[Normal]"/>
        <w:spacing w:line="360" w:lineRule="auto"/>
        <w:ind w:firstLine="1134"/>
        <w:jc w:val="both"/>
        <w:rPr>
          <w:lang w:val="es-AR" w:eastAsia="es-AR" w:bidi="es-AR"/>
        </w:rPr>
      </w:pPr>
      <w:r>
        <w:rPr>
          <w:lang w:val="es-AR" w:eastAsia="es-AR" w:bidi="es-AR"/>
        </w:rPr>
        <w:t xml:space="preserve">Dicha pauta no luce irrazonable.  La reducción al 60% no importa desconocer el vínculo matrimonial ni minimizar la pérdida sufrida, sino evitar que la indemnización patrimonial compute como daño lo que razonablemente correspondía al propio consumo del causante o lo que no integraba, en términos concretos, una asistencia alimentaria dirigida a la cónyuge.  La actora podrá discrepar con la fórmula o con el porcentaje escogido, pero no demuestra que el razonamiento del juez de grado se aparte de los parámetros legales de cuantificación ni que la suma reconocida resulte manifiestamente insuficiente a la luz de las constancias comprobadas de la causa.</w:t>
      </w:r>
    </w:p>
    <w:p>
      <w:pPr>
        <w:pStyle w:val="[Normal]"/>
        <w:spacing w:line="360" w:lineRule="auto"/>
        <w:ind w:firstLine="1134"/>
        <w:jc w:val="both"/>
        <w:rPr>
          <w:lang w:val="es-AR" w:eastAsia="es-AR" w:bidi="es-AR"/>
        </w:rPr>
      </w:pPr>
      <w:r>
        <w:rPr>
          <w:lang w:val="es-AR" w:eastAsia="es-AR" w:bidi="es-AR"/>
        </w:rPr>
        <w:t xml:space="preserve">Tampoco puede prosperar el agravio dirigido contra el rechazo del rubro respecto de Matías Ezequiel Luciani.  Es correcto que el hijo mayor de edad no carece, por ese solo hecho, de legitimación para reclamar los perjuicios derivados de la muerte de su padre.  Sin embargo, en materia de daño patrimonial por fallecimiento, la legitimación no basta por sí sola para fundar la condena.  Tratándose de un hijo mayor, económicamente activo, no conviviente y no comprendido en la presunción alimentaria específica del art. 1745 inc. b del Código Civil y Comercial, debía acreditar de modo suficiente la existencia de un perjuicio económico actual o, al menos, una chance seria y objetiva de asistencia futura frustrada.</w:t>
      </w:r>
    </w:p>
    <w:p>
      <w:pPr>
        <w:pStyle w:val="[Normal]"/>
        <w:spacing w:line="360" w:lineRule="auto"/>
        <w:ind w:firstLine="1134"/>
        <w:jc w:val="both"/>
        <w:rPr>
          <w:lang w:val="es-AR" w:eastAsia="es-AR" w:bidi="es-AR"/>
        </w:rPr>
      </w:pPr>
      <w:r>
        <w:rPr>
          <w:lang w:val="es-AR" w:eastAsia="es-AR" w:bidi="es-AR"/>
        </w:rPr>
        <w:t xml:space="preserve">La prueba producida no satisface esa carga. La sentencia tuvo por acreditado que Matías Luciani trabajaba en relación de dependencia para “Bingo Ramallo S. A.” y que, según el testigo López, el flujo de asistencia económica se daba en sentido inverso al postulado en la demanda, pues fue el propio testigo quien expresó que </w:t>
      </w:r>
      <w:r>
        <w:rPr>
          <w:i/>
          <w:lang w:val="es-AR" w:eastAsia="es-AR" w:bidi="es-AR"/>
        </w:rPr>
        <w:t xml:space="preserve">“Matías ayudaba económicamente a sus padres en todo lo que podía”</w:t>
      </w:r>
      <w:r>
        <w:rPr>
          <w:lang w:val="es-AR" w:eastAsia="es-AR" w:bidi="es-AR"/>
        </w:rPr>
        <w:t xml:space="preserve">.  Esa circunstancia debilita la hipótesis de una dependencia económica del hijo respecto del padre fallecido y torna insuficiente la mera invocación de una eventual ayuda futura.</w:t>
      </w:r>
    </w:p>
    <w:p>
      <w:pPr>
        <w:pStyle w:val="[Normal]"/>
        <w:spacing w:line="360" w:lineRule="auto"/>
        <w:ind w:firstLine="1134"/>
        <w:jc w:val="both"/>
        <w:rPr>
          <w:lang w:val="es-AR" w:eastAsia="es-AR" w:bidi="es-AR"/>
        </w:rPr>
      </w:pPr>
      <w:r>
        <w:rPr>
          <w:lang w:val="es-AR" w:eastAsia="es-AR" w:bidi="es-AR"/>
        </w:rPr>
        <w:t xml:space="preserve">A ello se agrega que la parte demandada había señalado -con apoyo en las constancias del beneficio de litigar sin gastos y en la documentación acompañada- que Matías Luciani tenía domicilio independiente, ingresos propios derivados de su trabajo, bienes registrables y un salario sensiblemente superior al haber jubilatorio mínimo percibido por su padre.  Tales elementos, aun considerados con prudencia, son incompatibles con la existencia de un daño patrimonial presumido y exigían de la parte actora una demostración más precisa de la concreta asistencia económica perdida.</w:t>
      </w:r>
    </w:p>
    <w:p>
      <w:pPr>
        <w:pStyle w:val="[Normal]"/>
        <w:spacing w:line="360" w:lineRule="auto"/>
        <w:ind w:firstLine="1134"/>
        <w:jc w:val="both"/>
        <w:rPr>
          <w:lang w:val="es-AR" w:eastAsia="es-AR" w:bidi="es-AR"/>
        </w:rPr>
      </w:pPr>
      <w:r>
        <w:rPr>
          <w:lang w:val="es-AR" w:eastAsia="es-AR" w:bidi="es-AR"/>
        </w:rPr>
        <w:t xml:space="preserve">Por lo tanto, el rechazo del rubro respecto de Matías Luciani no debe ser entendido como una negación de su vínculo filial ni de la afectación extrapatrimonial derivada de la muerte de su padre -aspecto que corresponde examinar al tratar el daño moral-, sino como la ausencia de prueba suficiente de un perjuicio patrimonial resarcible bajo este concepto.</w:t>
      </w:r>
    </w:p>
    <w:p>
      <w:pPr>
        <w:pStyle w:val="[Normal]"/>
        <w:spacing w:line="360" w:lineRule="auto"/>
        <w:ind w:firstLine="1134"/>
        <w:jc w:val="both"/>
        <w:rPr>
          <w:lang w:val="es-AR" w:eastAsia="es-AR" w:bidi="es-AR"/>
        </w:rPr>
      </w:pPr>
      <w:r>
        <w:rPr>
          <w:lang w:val="es-AR" w:eastAsia="es-AR" w:bidi="es-AR"/>
        </w:rPr>
        <w:t xml:space="preserve">En consecuencia, corresponde rechazar el agravio de la parte actora vinculado con la indemnización por fallecimiento, confirmando la suma de $19.409.741,76 fijada a favor de Amabilia Julia Camocardi y el rechazo del rubro respecto de Matías Ezequiel Luciani.  Ello, sin perjuicio de que la condena correspondiente a dicho importe deba adecuarse a la distribución causal establecida en esta instancia, esto es, 70% a cargo de Emanuel Antonio Díaz y 30% a cargo de Viviana Aurelia Velázquez y Hugo Osvaldo Méndez, con extensión a Seguros Bernardino Rivadavia Cooperativa Limitada en la medida del seguro.</w:t>
      </w:r>
    </w:p>
    <w:p>
      <w:pPr>
        <w:pStyle w:val="[Normal]"/>
        <w:spacing w:line="360" w:lineRule="auto"/>
        <w:ind w:firstLine="1134"/>
        <w:jc w:val="both"/>
        <w:rPr>
          <w:lang w:val="es-AR" w:eastAsia="es-AR" w:bidi="es-AR"/>
        </w:rPr>
      </w:pPr>
      <w:r>
        <w:rPr>
          <w:lang w:val="es-AR" w:eastAsia="es-AR" w:bidi="es-AR"/>
        </w:rPr>
        <w:t xml:space="preserve">2) Corresponde ingresar ahora al agravio de la parte actora referido a la cuantificación de la indemnización por consecuencias no patrimoniales.</w:t>
      </w:r>
    </w:p>
    <w:p>
      <w:pPr>
        <w:pStyle w:val="[Normal]"/>
        <w:spacing w:line="360" w:lineRule="auto"/>
        <w:ind w:firstLine="1134"/>
        <w:jc w:val="both"/>
        <w:rPr>
          <w:lang w:val="es-AR" w:eastAsia="es-AR" w:bidi="es-AR"/>
        </w:rPr>
      </w:pPr>
      <w:r>
        <w:rPr>
          <w:lang w:val="es-AR" w:eastAsia="es-AR" w:bidi="es-AR"/>
        </w:rPr>
        <w:t xml:space="preserve">La sentencia de grado reconoció por este concepto la suma de $10.000.000 a favor de Amabilia Julia Camocardi y la de $5.000.000 a favor de Matías Ezequiel Luciani. Para así decidir, el juez sostuvo que, tratándose de la muerte del cónyuge y del padre, el daño moral se presume por la propia índole del vínculo afectivo comprometido, y ponderó, como pauta de cuantificación, la posibilidad de procurar satisfacciones sustitutivas o compensatorias en los términos del art. 1741 del Código Civil y Comercial.</w:t>
      </w:r>
    </w:p>
    <w:p>
      <w:pPr>
        <w:pStyle w:val="[Normal]"/>
        <w:spacing w:line="360" w:lineRule="auto"/>
        <w:ind w:firstLine="1134"/>
        <w:jc w:val="both"/>
        <w:rPr>
          <w:lang w:val="es-AR" w:eastAsia="es-AR" w:bidi="es-AR"/>
        </w:rPr>
      </w:pPr>
      <w:r>
        <w:rPr>
          <w:lang w:val="es-AR" w:eastAsia="es-AR" w:bidi="es-AR"/>
        </w:rPr>
        <w:t xml:space="preserve">La actora cuestiona esas sumas por insuficientes. Sostiene que el juez desarrolló una fundamentación adecuada en abstracto, pero omitió ponderar con suficiente concreción las circunstancias particulares del caso: la extensa duración del matrimonio, la convivencia afectiva consolidada, la condición de Matías Luciani como hijo único, el carácter súbito y traumático del fallecimiento, y la entidad espiritual del daño derivado de la muerte violenta de José Rafael Luciani.</w:t>
      </w:r>
    </w:p>
    <w:p>
      <w:pPr>
        <w:pStyle w:val="[Normal]"/>
        <w:spacing w:line="360" w:lineRule="auto"/>
        <w:ind w:firstLine="1134"/>
        <w:jc w:val="both"/>
        <w:rPr>
          <w:lang w:val="es-AR" w:eastAsia="es-AR" w:bidi="es-AR"/>
        </w:rPr>
      </w:pPr>
      <w:r>
        <w:rPr>
          <w:lang w:val="es-AR" w:eastAsia="es-AR" w:bidi="es-AR"/>
        </w:rPr>
        <w:t xml:space="preserve">El agravio debe prosperar parcialmente.</w:t>
      </w:r>
    </w:p>
    <w:p>
      <w:pPr>
        <w:pStyle w:val="[Normal]"/>
        <w:spacing w:line="360" w:lineRule="auto"/>
        <w:ind w:firstLine="1134"/>
        <w:jc w:val="both"/>
        <w:rPr>
          <w:lang w:val="es-AR" w:eastAsia="es-AR" w:bidi="es-AR"/>
        </w:rPr>
      </w:pPr>
      <w:r>
        <w:rPr>
          <w:lang w:val="es-AR" w:eastAsia="es-AR" w:bidi="es-AR"/>
        </w:rPr>
        <w:t xml:space="preserve">Cabe recordar que el daño moral -o, en la terminología del Código Civil y Comercial, las consecuencias no patrimoniales- consiste en la afectación espiritual, emocional y existencial que deriva de la lesión a intereses no patrimoniales de la persona.  En casos de fallecimiento de un familiar directo, especialmente del cónyuge y del padre, su configuración no requiere una prueba directa o matemática del padecimiento, pues el menoscabo surge ordinariamente de la naturaleza misma del vínculo lesionado y de la ruptura abrupta del proyecto afectivo familiar.</w:t>
      </w:r>
    </w:p>
    <w:p>
      <w:pPr>
        <w:pStyle w:val="[Normal]"/>
        <w:spacing w:line="360" w:lineRule="auto"/>
        <w:ind w:firstLine="1134"/>
        <w:jc w:val="both"/>
        <w:rPr>
          <w:lang w:val="es-AR" w:eastAsia="es-AR" w:bidi="es-AR"/>
        </w:rPr>
      </w:pPr>
      <w:r>
        <w:rPr>
          <w:lang w:val="es-AR" w:eastAsia="es-AR" w:bidi="es-AR"/>
        </w:rPr>
        <w:t xml:space="preserve">Ello no significa, claro está, que la cuantificación pueda efectuarse de manera automática.  El art. 1741 del Código Civil y Comercial impone ponderar las satisfacciones sustitutivas y compensatorias que pueden procurar las sumas reconocidas. De allí que la indemnización no procure poner precio al dolor, sino otorgar a la víctima indirecta un medio económico razonable para obtener bienes, actividades o experiencias que, de algún modo, contribuyan a mitigar el sufrimiento padecido.</w:t>
      </w:r>
    </w:p>
    <w:p>
      <w:pPr>
        <w:pStyle w:val="[Normal]"/>
        <w:spacing w:line="360" w:lineRule="auto"/>
        <w:ind w:firstLine="1134"/>
        <w:jc w:val="both"/>
        <w:rPr>
          <w:lang w:val="es-AR" w:eastAsia="es-AR" w:bidi="es-AR"/>
        </w:rPr>
      </w:pPr>
      <w:r>
        <w:rPr>
          <w:lang w:val="es-AR" w:eastAsia="es-AR" w:bidi="es-AR"/>
        </w:rPr>
        <w:t xml:space="preserve">Desde esa perspectiva, asiste razón a la recurrente en cuanto señala que la sentencia apelada efectuó una fundamentación predominantemente genérica.  Si bien el juez mencionó en abstracto la función compensatoria del rubro y la posibilidad de atender a paseos, divertimentos, ocupaciones o cursos, no conectó de manera suficiente esa pauta con las circunstancias singulares de los reclamantes.</w:t>
      </w:r>
    </w:p>
    <w:p>
      <w:pPr>
        <w:pStyle w:val="[Normal]"/>
        <w:spacing w:line="360" w:lineRule="auto"/>
        <w:ind w:firstLine="1134"/>
        <w:jc w:val="both"/>
        <w:rPr>
          <w:lang w:val="es-AR" w:eastAsia="es-AR" w:bidi="es-AR"/>
        </w:rPr>
      </w:pPr>
      <w:r>
        <w:rPr>
          <w:lang w:val="es-AR" w:eastAsia="es-AR" w:bidi="es-AR"/>
        </w:rPr>
        <w:t xml:space="preserve">La prueba testimonial producida en la audiencia del 07/11/2025 confirma, además, la entidad concreta del vínculo familiar lesionado. Diego Ignacio López refirió conocer a la familia desde la infancia, señaló que José Luciani era el esposo de Amabilia y padre de Matías, que el matrimonio tenía un solo hijo y que luego del hecho vio a ambos reclamantes </w:t>
      </w:r>
      <w:r>
        <w:rPr>
          <w:i/>
          <w:lang w:val="es-AR" w:eastAsia="es-AR" w:bidi="es-AR"/>
        </w:rPr>
        <w:t xml:space="preserve">“muy mal”</w:t>
      </w:r>
      <w:r>
        <w:rPr>
          <w:lang w:val="es-AR" w:eastAsia="es-AR" w:bidi="es-AR"/>
        </w:rPr>
        <w:t xml:space="preserve">, afectados anímicamente y llorando por la pérdida. En sentido concordante, Cristina del Valle Hatemer manifestó que José vivía con Amabilia, que Matías era el único hijo del matrimonio y que, después del fallecimiento, observó en los actores tristeza, dolor y una actitud de retraimiento o de estar </w:t>
      </w:r>
      <w:r>
        <w:rPr>
          <w:i/>
          <w:lang w:val="es-AR" w:eastAsia="es-AR" w:bidi="es-AR"/>
        </w:rPr>
        <w:t xml:space="preserve">“para adentro”</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También Román Joaquín López, amigo de Matías y de la familia desde la infancia, describió </w:t>
      </w:r>
      <w:r>
        <w:rPr>
          <w:i/>
          <w:lang w:val="es-AR" w:eastAsia="es-AR" w:bidi="es-AR"/>
        </w:rPr>
        <w:t xml:space="preserve">“muchos días de dolor y de tristeza”</w:t>
      </w:r>
      <w:r>
        <w:rPr>
          <w:lang w:val="es-AR" w:eastAsia="es-AR" w:bidi="es-AR"/>
        </w:rPr>
        <w:t xml:space="preserve">, especialmente llanto al hablar del tema. Añadió que José disfrutaba de la pesca, que Amabilia solía reunirse con amigas y que Matías compartía actividades sociales y recreativas, datos que, sin constituir prueba matemática del dolor -imposible en esta materia-, sí permiten conectar la reparación con concretas dimensiones de la vida afectiva y cotidiana alteradas por la muerte súbita de José Rafael Luciani.</w:t>
      </w:r>
    </w:p>
    <w:p>
      <w:pPr>
        <w:pStyle w:val="[Normal]"/>
        <w:spacing w:line="360" w:lineRule="auto"/>
        <w:ind w:firstLine="1134"/>
        <w:jc w:val="both"/>
        <w:rPr>
          <w:lang w:val="es-AR" w:eastAsia="es-AR" w:bidi="es-AR"/>
        </w:rPr>
      </w:pPr>
      <w:r>
        <w:rPr>
          <w:lang w:val="es-AR" w:eastAsia="es-AR" w:bidi="es-AR"/>
        </w:rPr>
        <w:t xml:space="preserve">En el caso de Amabilia Julia Camocardi, no puede soslayarse que la muerte de José Rafael Luciani implicó la pérdida del cónyuge con quien había desarrollado un vínculo matrimonial prolongado, cercano a los cuarenta años, extremo invocado desde la demanda y reiterado en la expresión de agravios.  La propia sentencia reconoció que la muerte del integrante del matrimonio importa, ordinariamente, un gravísimo daño moral para el cónyuge supérstite, no sólo por el dolor derivado de la pérdida de un ser querido, sino también por la situación espiritualmente disvaliosa que significa la viudez como ruptura del plan de vida compartido.</w:t>
      </w:r>
    </w:p>
    <w:p>
      <w:pPr>
        <w:pStyle w:val="[Normal]"/>
        <w:spacing w:line="360" w:lineRule="auto"/>
        <w:ind w:firstLine="1134"/>
        <w:jc w:val="both"/>
        <w:rPr>
          <w:lang w:val="es-AR" w:eastAsia="es-AR" w:bidi="es-AR"/>
        </w:rPr>
      </w:pPr>
      <w:r>
        <w:rPr>
          <w:lang w:val="es-AR" w:eastAsia="es-AR" w:bidi="es-AR"/>
        </w:rPr>
        <w:t xml:space="preserve">En cuanto a Matías Ezequiel Luciani, si bien su situación patrimonial fue ponderada de modo diverso al tratar la indemnización por fallecimiento, ello no reduce la intensidad del agravio espiritual derivado de la muerte de su padre.  La propia sentencia reconoció la procedencia del rubro y tuvo en cuenta, aunque de modo insuficiente en la cuantificación, que el reclamante era hijo único.  Esa circunstancia resulta relevante, pues la pérdida del único progenitor varón en un hecho súbito y violento comporta una afectación extrapatrimonial que excede una mera tristeza ordinaria.</w:t>
      </w:r>
    </w:p>
    <w:p>
      <w:pPr>
        <w:pStyle w:val="[Normal]"/>
        <w:spacing w:line="360" w:lineRule="auto"/>
        <w:ind w:firstLine="1134"/>
        <w:jc w:val="both"/>
        <w:rPr>
          <w:lang w:val="es-AR" w:eastAsia="es-AR" w:bidi="es-AR"/>
        </w:rPr>
      </w:pPr>
      <w:r>
        <w:rPr>
          <w:lang w:val="es-AR" w:eastAsia="es-AR" w:bidi="es-AR"/>
        </w:rPr>
        <w:t xml:space="preserve">Tampoco obsta a esta conclusión lo dictaminado por la perito psicóloga Ivana María Teresita Riguetti en las pericias presentadas el 31/10/2025 y en las explicaciones brindadas el 01/12/2025.  La experta concluyó que Camocardi y Luciani transitaban procesos de duelo sin indicadores de daño psíquico patológico o consolidado; esa conclusión puede incidir en la extensión del daño extrapatrimonial pero no desvirtúa, en cambio, la existencia de esta partida indemnizatoria, que no exige la comprobación de una patología psíquica ni de una incapacidad psicológica permanente.</w:t>
      </w:r>
    </w:p>
    <w:p>
      <w:pPr>
        <w:pStyle w:val="[Normal]"/>
        <w:spacing w:line="360" w:lineRule="auto"/>
        <w:ind w:firstLine="1134"/>
        <w:jc w:val="both"/>
        <w:rPr>
          <w:lang w:val="es-AR" w:eastAsia="es-AR" w:bidi="es-AR"/>
        </w:rPr>
      </w:pPr>
      <w:r>
        <w:rPr>
          <w:lang w:val="es-AR" w:eastAsia="es-AR" w:bidi="es-AR"/>
        </w:rPr>
        <w:t xml:space="preserve">En consecuencia, corresponde hacer lugar parcialmente al agravio de la parte actora y modificar la sentencia apelada, elevando la indemnización por consecuencias no patrimoniales a la suma de $18.000.000 a favor de Amabilia Julia Camocardi y a la de $14.000.000 a favor de Matías Ezequiel Luciani. Dichos importes deberán ser soportados conforme la distribución causal establecida en esta instancia, esto es, en un 70% a cargo de Emanuel Antonio Díaz y en un 30% a cargo de Viviana Aurelia Velázquez y Hugo Osvaldo Méndez, con extensión a Seguros Bernardino Rivadavia Cooperativa Limitada en la medida del seguro.</w:t>
      </w:r>
    </w:p>
    <w:p>
      <w:pPr>
        <w:pStyle w:val="[Normal]"/>
        <w:spacing w:line="360" w:lineRule="auto"/>
        <w:ind w:firstLine="1134"/>
        <w:jc w:val="both"/>
        <w:rPr>
          <w:lang w:val="es-AR" w:eastAsia="es-AR" w:bidi="es-AR"/>
        </w:rPr>
      </w:pPr>
      <w:r>
        <w:rPr>
          <w:lang w:val="es-AR" w:eastAsia="es-AR" w:bidi="es-AR"/>
        </w:rPr>
        <w:t xml:space="preserve">3) Corresponde abordar ahora el agravio de la parte actora referido al rechazo del rubro daño psicológico.</w:t>
      </w:r>
    </w:p>
    <w:p>
      <w:pPr>
        <w:pStyle w:val="[Normal]"/>
        <w:spacing w:line="360" w:lineRule="auto"/>
        <w:ind w:firstLine="1134"/>
        <w:jc w:val="both"/>
        <w:rPr>
          <w:lang w:val="es-AR" w:eastAsia="es-AR" w:bidi="es-AR"/>
        </w:rPr>
      </w:pPr>
      <w:r>
        <w:rPr>
          <w:lang w:val="es-AR" w:eastAsia="es-AR" w:bidi="es-AR"/>
        </w:rPr>
        <w:t xml:space="preserve">Advierto que la crítica formulada no puede prosperar.</w:t>
      </w:r>
    </w:p>
    <w:p>
      <w:pPr>
        <w:pStyle w:val="[Normal]"/>
        <w:spacing w:line="360" w:lineRule="auto"/>
        <w:ind w:firstLine="1134"/>
        <w:jc w:val="both"/>
        <w:rPr>
          <w:lang w:val="es-AR" w:eastAsia="es-AR" w:bidi="es-AR"/>
        </w:rPr>
      </w:pPr>
      <w:r>
        <w:rPr>
          <w:lang w:val="es-AR" w:eastAsia="es-AR" w:bidi="es-AR"/>
        </w:rPr>
        <w:t xml:space="preserve">En primer lugar, corresponde individualizar las constancias probatorias relevantes.  La pericia psicológica de Amabilia Julia Camocardi fue presentada el 31/10/2025, a las 12:43:36, por Ivana María Teresita Riguetti, Perito Psicóloga de la Asesoría Pericial Departamental, en el expediente N° 68.017, en trámite ante el Juzgado en lo Civil y Comercial N° 3 de Pergamino.  En ese mismo día, a las 12:46:47, la misma profesional presentó la pericia psicológica correspondiente a Matías Ezequiel Luciani.</w:t>
      </w:r>
    </w:p>
    <w:p>
      <w:pPr>
        <w:pStyle w:val="[Normal]"/>
        <w:spacing w:line="360" w:lineRule="auto"/>
        <w:ind w:firstLine="1134"/>
        <w:jc w:val="both"/>
        <w:rPr>
          <w:lang w:val="es-AR" w:eastAsia="es-AR" w:bidi="es-AR"/>
        </w:rPr>
      </w:pPr>
      <w:r>
        <w:rPr>
          <w:lang w:val="es-AR" w:eastAsia="es-AR" w:bidi="es-AR"/>
        </w:rPr>
        <w:t xml:space="preserve">En relación con Camocardi, la perito concluyó que la evaluada transitaba un proceso de duelo normal, acorde al tiempo transcurrido y a la magnitud de la pérdida; que sus manifestaciones emocionales resultaban proporcionales y esperables; y que no se configuraba sintomatología que permitiera afirmar la existencia de daño psíquico consolidado. Añadió que no presentaba daño psíquico al momento del examen, pues había implementado defensas adecuadas que facilitaban el tránsito del duelo, sin advertirse detenimientos u obstáculos relevantes en ese proceso.</w:t>
      </w:r>
    </w:p>
    <w:p>
      <w:pPr>
        <w:pStyle w:val="[Normal]"/>
        <w:spacing w:line="360" w:lineRule="auto"/>
        <w:ind w:firstLine="1134"/>
        <w:jc w:val="both"/>
        <w:rPr>
          <w:lang w:val="es-AR" w:eastAsia="es-AR" w:bidi="es-AR"/>
        </w:rPr>
      </w:pPr>
      <w:r>
        <w:rPr>
          <w:lang w:val="es-AR" w:eastAsia="es-AR" w:bidi="es-AR"/>
        </w:rPr>
        <w:t xml:space="preserve">Respecto de Matías Luciani, la experta también descartó la existencia de daño psíquico. Señaló que el peritado mantenía su psiquismo integrado, con altibajos esperables ante la pérdida de su padre, sin evidenciar detenimientos ni obstáculos en el tránsito adaptativo, y conservando participación en los ámbitos familiar, laboral y recreativo. Concluyó, además, que no surgían indicadores de afectación psíquica persistente o psicopatológica derivada del hecho de autos que justificaran la indicación de un espacio psicoterapéutico por esa causa.</w:t>
      </w:r>
    </w:p>
    <w:p>
      <w:pPr>
        <w:pStyle w:val="[Normal]"/>
        <w:spacing w:line="360" w:lineRule="auto"/>
        <w:ind w:firstLine="1134"/>
        <w:jc w:val="both"/>
        <w:rPr>
          <w:lang w:val="es-AR" w:eastAsia="es-AR" w:bidi="es-AR"/>
        </w:rPr>
      </w:pPr>
      <w:r>
        <w:rPr>
          <w:lang w:val="es-AR" w:eastAsia="es-AR" w:bidi="es-AR"/>
        </w:rPr>
        <w:t xml:space="preserve">Es cierto que la parte actora impugnó las pericias.  La propia sentencia apelada reconoce que los informes fueron objeto de cuestionamientos y pedidos de explicaciones mediante presentaciones del 17/11/2025.  Sin embargo, también señaló que tales observaciones se dirigieron, en lo sustancial, a marcar supuestas contradicciones o inconsistencias que no lograban desvirtuar las conclusiones de la experta.</w:t>
      </w:r>
    </w:p>
    <w:p>
      <w:pPr>
        <w:pStyle w:val="[Normal]"/>
        <w:spacing w:line="360" w:lineRule="auto"/>
        <w:ind w:firstLine="1134"/>
        <w:jc w:val="both"/>
        <w:rPr>
          <w:lang w:val="es-AR" w:eastAsia="es-AR" w:bidi="es-AR"/>
        </w:rPr>
      </w:pPr>
      <w:r>
        <w:rPr>
          <w:lang w:val="es-AR" w:eastAsia="es-AR" w:bidi="es-AR"/>
        </w:rPr>
        <w:t xml:space="preserve">A su vez, la perito respondió las impugnaciones.  En fecha 01/12/2025, a las 11:47:55, brindó explicaciones respecto de Matías Luciani; y en esa misma fecha, a las 11:50:35, contestó la impugnación vinculada con Amabilia Camocardi, ratificando sus dictámenes.  En esas presentaciones reiteró que las manifestaciones relevadas se correspondían con un duelo normativo, sin indicadores de cronificación, desestructuración de la personalidad, daño psíquico consolidado o afectación psicopatológica persistente.</w:t>
      </w:r>
    </w:p>
    <w:p>
      <w:pPr>
        <w:pStyle w:val="[Normal]"/>
        <w:spacing w:line="360" w:lineRule="auto"/>
        <w:ind w:firstLine="1134"/>
        <w:jc w:val="both"/>
        <w:rPr>
          <w:lang w:val="es-AR" w:eastAsia="es-AR" w:bidi="es-AR"/>
        </w:rPr>
      </w:pPr>
      <w:r>
        <w:rPr>
          <w:lang w:val="es-AR" w:eastAsia="es-AR" w:bidi="es-AR"/>
        </w:rPr>
        <w:t xml:space="preserve">Desde el punto de vista jurídico, la conclusión de grado debe ser confirmada.  El daño psicológico exige algo más que tristeza, angustia, evocación del fallecido, llanto o sufrimiento espiritual. Requiere la acreditación de una alteración psíquica patológica, persistente o consolidada, con incidencia en la vida de relación, en las aptitudes previas del sujeto o en la necesidad causalmente justificada de tratamiento.  De lo contrario, las manifestaciones afectivas propias del duelo quedan comprendidas dentro del daño moral o de las consecuencias no patrimoniales, pero no habilitan una indemnización diferenciada bajo el rótulo de daño psicológico.</w:t>
      </w:r>
    </w:p>
    <w:p>
      <w:pPr>
        <w:pStyle w:val="[Normal]"/>
        <w:spacing w:line="360" w:lineRule="auto"/>
        <w:ind w:firstLine="1134"/>
        <w:jc w:val="both"/>
        <w:rPr>
          <w:lang w:val="es-AR" w:eastAsia="es-AR" w:bidi="es-AR"/>
        </w:rPr>
      </w:pPr>
      <w:r>
        <w:rPr>
          <w:lang w:val="es-AR" w:eastAsia="es-AR" w:bidi="es-AR"/>
        </w:rPr>
        <w:t xml:space="preserve">La distinción es importante para evitar una duplicación resarcitoria.  La muerte súbita y traumática de José Rafael Luciani produjo, sin duda, un padecimiento espiritual relevante en su cónyuge y en su hijo, aspecto que ya fue ponderado al tratar el daño moral.  Pero la prueba pericial no acreditó que ese padecimiento hubiera derivado en una lesión psíquica autónoma, clínicamente verificable y jurídicamente resarcible como incapacidad o como daño patrimonial por tratamiento.</w:t>
      </w:r>
    </w:p>
    <w:p>
      <w:pPr>
        <w:pStyle w:val="[Normal]"/>
        <w:spacing w:line="360" w:lineRule="auto"/>
        <w:ind w:firstLine="1134"/>
        <w:jc w:val="both"/>
        <w:rPr>
          <w:lang w:val="es-AR" w:eastAsia="es-AR" w:bidi="es-AR"/>
        </w:rPr>
      </w:pPr>
      <w:r>
        <w:rPr>
          <w:lang w:val="es-AR" w:eastAsia="es-AR" w:bidi="es-AR"/>
        </w:rPr>
        <w:t xml:space="preserve">Las objeciones de la actora no bastan para apartarse del dictamen.  El hecho de que la Sra. Camocardi se autodefina como </w:t>
      </w:r>
      <w:r>
        <w:rPr>
          <w:i/>
          <w:lang w:val="es-AR" w:eastAsia="es-AR" w:bidi="es-AR"/>
        </w:rPr>
        <w:t xml:space="preserve">“casada”</w:t>
      </w:r>
      <w:r>
        <w:rPr>
          <w:lang w:val="es-AR" w:eastAsia="es-AR" w:bidi="es-AR"/>
        </w:rPr>
        <w:t xml:space="preserve">, que evoque a su esposo, que experimente tristeza o que conserve una continuidad simbólica del vínculo afectivo no permite, por sí solo, inferir una patología psíquica.  Del mismo modo, que Matías Luciani haya iniciado o continuado un espacio terapéutico luego del fallecimiento de su padre puede revelar la existencia de padecimiento subjetivo, pero no demuestra, sin respaldo técnico suficiente, que exista una incapacidad psicológica o una afección psicopatológica causalmente atribuible al accidente.</w:t>
      </w:r>
    </w:p>
    <w:p>
      <w:pPr>
        <w:pStyle w:val="[Normal]"/>
        <w:spacing w:line="360" w:lineRule="auto"/>
        <w:ind w:firstLine="1134"/>
        <w:jc w:val="both"/>
        <w:rPr>
          <w:lang w:val="es-AR" w:eastAsia="es-AR" w:bidi="es-AR"/>
        </w:rPr>
      </w:pPr>
      <w:r>
        <w:rPr>
          <w:lang w:val="es-AR" w:eastAsia="es-AR" w:bidi="es-AR"/>
        </w:rPr>
        <w:t xml:space="preserve">Tampoco resulta decisivo el argumento relativo a la falta de acompañamiento de los test administrados.  La perito explicó que el diagnóstico psicológico no se obtiene por la mera transcripción aislada de técnicas o entrevistas, sino mediante la valoración integral del acto pericial. En ausencia de una prueba técnica de igual jerarquía, de un informe de consultor de parte o de inconsistencias graves, objetivas y verificables en el razonamiento pericial, no corresponde sustituir el criterio especializado de la experta por la sola discrepancia subjetiva de los reclamantes.</w:t>
      </w:r>
    </w:p>
    <w:p>
      <w:pPr>
        <w:pStyle w:val="[Normal]"/>
        <w:spacing w:line="360" w:lineRule="auto"/>
        <w:ind w:firstLine="1134"/>
        <w:jc w:val="both"/>
        <w:rPr>
          <w:lang w:val="es-AR" w:eastAsia="es-AR" w:bidi="es-AR"/>
        </w:rPr>
      </w:pPr>
      <w:r>
        <w:rPr>
          <w:lang w:val="es-AR" w:eastAsia="es-AR" w:bidi="es-AR"/>
        </w:rPr>
        <w:t xml:space="preserve">Por otra parte, la referencia de la perito al criterio temporal vinculado con la consolidación del daño psíquico no torna inválido el dictamen.  Más allá de que la actora discrepe con esa base teórica, la conclusión pericial no descansó exclusivamente en el transcurso del tiempo, sino también en la evaluación concreta de ambos reclamantes, en quienes no se advirtieron indicadores actuales de desestructuración, cronificación, incapacidad psicológica o afectación persistente derivada del hecho.</w:t>
      </w:r>
    </w:p>
    <w:p>
      <w:pPr>
        <w:pStyle w:val="[Normal]"/>
        <w:spacing w:line="360" w:lineRule="auto"/>
        <w:ind w:firstLine="1134"/>
        <w:jc w:val="both"/>
        <w:rPr>
          <w:lang w:val="es-AR" w:eastAsia="es-AR" w:bidi="es-AR"/>
        </w:rPr>
      </w:pPr>
      <w:r>
        <w:rPr>
          <w:lang w:val="es-AR" w:eastAsia="es-AR" w:bidi="es-AR"/>
        </w:rPr>
        <w:t xml:space="preserve">En consecuencia, no se encuentra acreditado el presupuesto técnico indispensable para receptar el daño psicológico en el contenido indemnizatorio que integra la condena judicial. </w:t>
      </w:r>
    </w:p>
    <w:p>
      <w:pPr>
        <w:pStyle w:val="[Normal]"/>
        <w:spacing w:line="360" w:lineRule="auto"/>
        <w:ind w:firstLine="1134"/>
        <w:jc w:val="both"/>
        <w:rPr>
          <w:lang w:val="es-AR" w:eastAsia="es-AR" w:bidi="es-AR"/>
        </w:rPr>
      </w:pPr>
      <w:r>
        <w:rPr>
          <w:lang w:val="es-AR" w:eastAsia="es-AR" w:bidi="es-AR"/>
        </w:rPr>
        <w:t xml:space="preserve">Esto implica que el sufrimiento derivado de la muerte del esposo y padre será reparado en el marco de las consecuencias no patrimoniales, pero no corresponde reconocer una partida específica por daño psíquico ni inflacionar el daño patrimonial o extrapatrimonial ya reconocidos en virtud de este item, toda vez que prueba producida descarta la existencia de una lesión psicológica jurídicamente consolidada.</w:t>
      </w:r>
    </w:p>
    <w:p>
      <w:pPr>
        <w:pStyle w:val="[Normal]"/>
        <w:spacing w:line="360" w:lineRule="auto"/>
        <w:ind w:firstLine="1134"/>
        <w:jc w:val="both"/>
        <w:rPr>
          <w:lang w:val="es-AR" w:eastAsia="es-AR" w:bidi="es-AR"/>
        </w:rPr>
      </w:pPr>
      <w:r>
        <w:rPr>
          <w:lang w:val="es-AR" w:eastAsia="es-AR" w:bidi="es-AR"/>
        </w:rPr>
        <w:t xml:space="preserve">Al respecto, este Tribunal tiene dicho que tanto la normativa del Código de Vélez (arts. 1068 y 1078) como la correspondiente al Código Civil y Comercial (1738 y 1741) son claras y no dejan resquicio para la duda.  El daño sólo puede ser patrimonial o moral.  Por lo que deben descartarse pretendidas nuevas categorías de daño indemnizable cuya formulación con visos de autonomía únicamente puede ser concebida a partir de serios desenfoques del concepto de daño patrimonial y moral (ver Cámara de Apelaciones en lo Civil y Comercial de Pergamino, causa N° </w:t>
      </w:r>
      <w:r>
        <w:rPr>
          <w:color w:val="000000"/>
          <w:lang w:val="es-AR" w:eastAsia="es-AR" w:bidi="es-AR"/>
        </w:rPr>
        <w:t xml:space="preserve">4390-21</w:t>
      </w:r>
      <w:r>
        <w:rPr>
          <w:lang w:val="es-AR" w:eastAsia="es-AR" w:bidi="es-AR"/>
        </w:rPr>
        <w:t xml:space="preserve">  caratulada "</w:t>
      </w:r>
      <w:r>
        <w:rPr>
          <w:color w:val="000000"/>
          <w:lang w:val="es-AR" w:eastAsia="es-AR" w:bidi="es-AR"/>
        </w:rPr>
        <w:t xml:space="preserve">ALLO ROBERTO JAVIER C/ COLD SEED LOGISTIC Y QUALITY S.A.  Y OTRO/A S/ DAÑOS Y PERJ. INCUMP. CONTRACTUAL (EXC. ESTADO)</w:t>
      </w:r>
      <w:r>
        <w:rPr>
          <w:lang w:val="es-AR" w:eastAsia="es-AR" w:bidi="es-AR"/>
        </w:rPr>
        <w:t xml:space="preserve">", 16/5/2024). </w:t>
      </w:r>
    </w:p>
    <w:p>
      <w:pPr>
        <w:pStyle w:val="[Normal]"/>
        <w:spacing w:line="360" w:lineRule="auto"/>
        <w:ind w:firstLine="1134"/>
        <w:jc w:val="both"/>
        <w:rPr>
          <w:lang w:val="es-AR" w:eastAsia="es-AR" w:bidi="es-AR"/>
        </w:rPr>
      </w:pPr>
      <w:r>
        <w:rPr>
          <w:lang w:val="es-AR" w:eastAsia="es-AR" w:bidi="es-AR"/>
        </w:rPr>
        <w:t xml:space="preserve">La utilización de locuciones como </w:t>
      </w:r>
      <w:r>
        <w:rPr>
          <w:i/>
          <w:lang w:val="es-AR" w:eastAsia="es-AR" w:bidi="es-AR"/>
        </w:rPr>
        <w:t xml:space="preserve">“daño estético”</w:t>
      </w:r>
      <w:r>
        <w:rPr>
          <w:lang w:val="es-AR" w:eastAsia="es-AR" w:bidi="es-AR"/>
        </w:rPr>
        <w:t xml:space="preserve">, </w:t>
      </w:r>
      <w:r>
        <w:rPr>
          <w:i/>
          <w:lang w:val="es-AR" w:eastAsia="es-AR" w:bidi="es-AR"/>
        </w:rPr>
        <w:t xml:space="preserve">“daño psíquico”</w:t>
      </w:r>
      <w:r>
        <w:rPr>
          <w:lang w:val="es-AR" w:eastAsia="es-AR" w:bidi="es-AR"/>
        </w:rPr>
        <w:t xml:space="preserve">, </w:t>
      </w:r>
      <w:r>
        <w:rPr>
          <w:i/>
          <w:lang w:val="es-AR" w:eastAsia="es-AR" w:bidi="es-AR"/>
        </w:rPr>
        <w:t xml:space="preserve">“daño por incapacidad”</w:t>
      </w:r>
      <w:r>
        <w:rPr>
          <w:lang w:val="es-AR" w:eastAsia="es-AR" w:bidi="es-AR"/>
        </w:rPr>
        <w:t xml:space="preserve">, </w:t>
      </w:r>
      <w:r>
        <w:rPr>
          <w:i/>
          <w:lang w:val="es-AR" w:eastAsia="es-AR" w:bidi="es-AR"/>
        </w:rPr>
        <w:t xml:space="preserve">"daño al proyecto de vida"</w:t>
      </w:r>
      <w:r>
        <w:rPr>
          <w:lang w:val="es-AR" w:eastAsia="es-AR" w:bidi="es-AR"/>
        </w:rPr>
        <w:t xml:space="preserve"> es útil -y así ha sido por validada por la jurisprudencia del Alto Tribunal- para  expresar todas las facetas y componentes que integran estos dos rubros resarcitorios y, de tal modo, compeler a los tribunales a pronunciarse específicamente sobre ellos y su impacto en la extensión del daño resarcible.</w:t>
      </w:r>
    </w:p>
    <w:p>
      <w:pPr>
        <w:pStyle w:val="[Normal]"/>
        <w:spacing w:line="360" w:lineRule="auto"/>
        <w:ind w:firstLine="1134"/>
        <w:jc w:val="both"/>
        <w:rPr>
          <w:lang w:val="es-AR" w:eastAsia="es-AR" w:bidi="es-AR"/>
        </w:rPr>
      </w:pPr>
      <w:r>
        <w:rPr>
          <w:lang w:val="es-AR" w:eastAsia="es-AR" w:bidi="es-AR"/>
        </w:rPr>
        <w:t xml:space="preserve">Así, por ejemplo, el daño estético supone la lesión a los intereses patrimoniales y extrapatrimoniales de la persona humana ligados a su regularidad y armonía física que pueden generar un daño patrimonial emergente (vgr. honorarios médicos, costo de cirugía, etc.) o un lucro cesante (ganancias frustradas a raíz de la lesión estética) o bien ambos, sin perjuicio de la existencia de consecuencias no patrimoniales derivadas del quebrantamiento espiritual a raíz de la lesión estética.</w:t>
      </w:r>
    </w:p>
    <w:p>
      <w:pPr>
        <w:pStyle w:val="[Normal]"/>
        <w:spacing w:line="360" w:lineRule="auto"/>
        <w:ind w:firstLine="1134"/>
        <w:jc w:val="both"/>
        <w:rPr>
          <w:lang w:val="es-AR" w:eastAsia="es-AR" w:bidi="es-AR"/>
        </w:rPr>
      </w:pPr>
      <w:r>
        <w:rPr>
          <w:lang w:val="es-AR" w:eastAsia="es-AR" w:bidi="es-AR"/>
        </w:rPr>
        <w:t xml:space="preserve">La utilidad del procedimiento no transita por reconocer rubros resarcitorios autónomos, sino por contemplar diversas formas de lesividad o daños de hecho para poder ponderar discriminadamente los efectos patrimoniales y no patrimoniales que derivan de la conculcación a intereses de tal índole.  De este modo, se evita que dentro de la cuenta global se dupliquen o diluyan los distintos aspectos constitutivos del daño indemnizable, al tiempo que se posibilita un mejor control de los alcances del fallo.  En esta línea, Vázquez Ferreyra sostiene que: </w:t>
      </w:r>
      <w:r>
        <w:rPr>
          <w:i/>
          <w:lang w:val="es-AR" w:eastAsia="es-AR" w:bidi="es-AR"/>
        </w:rPr>
        <w:t xml:space="preserve">“cuando llega el momento de fijar la cuantía de la indemnización del daño patrimonial y moral, aquí sí cobra importancia el análisis de la lesión estética, pues se trata de un rubro más a tener en cuenta en cada tipo de daño para establecer su magnitud.  De esta manera, los jueces no deberían fijar indemnizaciones globales –como muchas veces se hace- sino que en aras de dar una mayor garantía a los litigantes, es conveniente que tanto el daño patrimonial como no patrimonial se descomponga en todos los ítems –daño en sentido naturalístico- que han sido tenidos en cuenta”</w:t>
      </w:r>
      <w:r>
        <w:rPr>
          <w:lang w:val="es-AR" w:eastAsia="es-AR" w:bidi="es-AR"/>
        </w:rPr>
        <w:t xml:space="preserve"> (VAZQUEZ FERREYRA, Roberto A., Daños y perjuicios: lesión estética, LL, 1992-B-251).</w:t>
      </w:r>
    </w:p>
    <w:p>
      <w:pPr>
        <w:pStyle w:val="[Normal]"/>
        <w:spacing w:line="360" w:lineRule="auto"/>
        <w:ind w:firstLine="1134"/>
        <w:jc w:val="both"/>
        <w:rPr>
          <w:lang w:val="es-AR" w:eastAsia="es-AR" w:bidi="es-AR"/>
        </w:rPr>
      </w:pPr>
      <w:r>
        <w:rPr>
          <w:lang w:val="es-AR" w:eastAsia="es-AR" w:bidi="es-AR"/>
        </w:rPr>
        <w:t xml:space="preserve">En esta línea, la Suprema Corte de Justicia de Mendoza, con voto de la Dra. Kemelmajer de Carlucci, ha sostenido reiteradamente que </w:t>
      </w:r>
      <w:r>
        <w:rPr>
          <w:i/>
          <w:lang w:val="es-AR" w:eastAsia="es-AR" w:bidi="es-AR"/>
        </w:rPr>
        <w:t xml:space="preserve">“cualquiera sea el nomen iuris bajo el que se encuadre el daño, lo relevante es que si ya se computa la pérdida patrimonial del sujeto (o el período tenido en vista), no se confiera como indemnización autónoma el de otro daño económico de similar sustancia y por análogo motivo. De lo contrario, se configuraría una injustificada duplicidad resarcitoria por el mismo título” </w:t>
      </w:r>
      <w:r>
        <w:rPr>
          <w:lang w:val="es-AR" w:eastAsia="es-AR" w:bidi="es-AR"/>
        </w:rPr>
        <w:t xml:space="preserve">(SC Mendoza, Sala I, 16/3/95, </w:t>
      </w:r>
      <w:r>
        <w:rPr>
          <w:i/>
          <w:lang w:val="es-AR" w:eastAsia="es-AR" w:bidi="es-AR"/>
        </w:rPr>
        <w:t xml:space="preserve">“Belgrano Soc. Coop. Ltda. de Seg. O otra en Cerrutti, Olguín A. c José Capel s/ Daños y perjuicios,”</w:t>
      </w:r>
      <w:r>
        <w:rPr>
          <w:lang w:val="es-AR" w:eastAsia="es-AR" w:bidi="es-AR"/>
        </w:rPr>
        <w:t xml:space="preserve"> en Jurisprudencia de Mendoza, oct. 1995, pag. 26).</w:t>
      </w:r>
    </w:p>
    <w:p>
      <w:pPr>
        <w:pStyle w:val="[Normal]"/>
        <w:spacing w:line="360" w:lineRule="auto"/>
        <w:ind w:firstLine="1134"/>
        <w:jc w:val="both"/>
        <w:rPr>
          <w:lang w:val="es-AR" w:eastAsia="es-AR" w:bidi="es-AR"/>
        </w:rPr>
      </w:pPr>
      <w:r>
        <w:rPr>
          <w:lang w:val="es-AR" w:eastAsia="es-AR" w:bidi="es-AR"/>
        </w:rPr>
        <w:t xml:space="preserve">En síntesis, consideramos que el daño al proyecto de vida resulta indemnizable en tanto repercuta como perjuicio patrimonial o extrapatrimonial, más no puede ser resarcido como un tercer género de daño resarcible autónomo.</w:t>
      </w:r>
    </w:p>
    <w:p>
      <w:pPr>
        <w:pStyle w:val="[Normal]"/>
        <w:spacing w:line="360" w:lineRule="auto"/>
        <w:ind w:firstLine="1134"/>
        <w:jc w:val="both"/>
        <w:rPr>
          <w:lang w:val="es-AR" w:eastAsia="es-AR" w:bidi="es-AR"/>
        </w:rPr>
      </w:pPr>
      <w:r>
        <w:rPr>
          <w:lang w:val="es-AR" w:eastAsia="es-AR" w:bidi="es-AR"/>
        </w:rPr>
        <w:t xml:space="preserve">Por todo ello, corresponde rechazar el agravio de la parte actora y confirmar la sentencia apelada en cuanto desestimó el rubro daño psicológico reclamado por Amabilia Julia Camocardi y Matías Ezequiel Luciani.</w:t>
      </w:r>
    </w:p>
    <w:p>
      <w:pPr>
        <w:pStyle w:val="[Normal]"/>
        <w:spacing w:line="360" w:lineRule="auto"/>
        <w:ind w:firstLine="1134"/>
        <w:jc w:val="both"/>
        <w:rPr>
          <w:lang w:val="es-AR" w:eastAsia="es-AR" w:bidi="es-AR"/>
        </w:rPr>
      </w:pPr>
      <w:r>
        <w:rPr>
          <w:lang w:val="es-AR" w:eastAsia="es-AR" w:bidi="es-AR"/>
        </w:rPr>
        <w:t xml:space="preserve">III.- Corresponde abordar ahora el agravio de la parte actora vinculado con la tasa de interés aplicada y con la alegada omisión de adoptar un mecanismo suficiente de recomposición del crédito.</w:t>
      </w:r>
    </w:p>
    <w:p>
      <w:pPr>
        <w:pStyle w:val="[Normal]"/>
        <w:spacing w:line="360" w:lineRule="auto"/>
        <w:ind w:firstLine="1134"/>
        <w:jc w:val="both"/>
        <w:rPr>
          <w:lang w:val="es-AR" w:eastAsia="es-AR" w:bidi="es-AR"/>
        </w:rPr>
      </w:pPr>
      <w:r>
        <w:rPr>
          <w:lang w:val="es-AR" w:eastAsia="es-AR" w:bidi="es-AR"/>
        </w:rPr>
        <w:t xml:space="preserve">La crítica exige distinguir dos planos. Uno es el relativo a la cuantificación de los rubros indemnizatorios como deudas de valor; otro, distinto, es el de los intereses que corresponden una vez fijado el importe de condena.  La parte actora sostiene que la tasa pura del 6% anual desde el hecho hasta la sentencia, seguida luego por la tasa pasiva más alta del Banco Provincia, no preserva adecuadamente el valor del crédito y que debió aplicarse el precedente “Barrios”, invocado ya desde la demanda.</w:t>
      </w:r>
    </w:p>
    <w:p>
      <w:pPr>
        <w:pStyle w:val="[Normal]"/>
        <w:spacing w:line="360" w:lineRule="auto"/>
        <w:ind w:firstLine="1134"/>
        <w:jc w:val="both"/>
        <w:rPr>
          <w:lang w:val="es-AR" w:eastAsia="es-AR" w:bidi="es-AR"/>
        </w:rPr>
      </w:pPr>
      <w:r>
        <w:rPr>
          <w:lang w:val="es-AR" w:eastAsia="es-AR" w:bidi="es-AR"/>
        </w:rPr>
        <w:t xml:space="preserve">El agravio no puede prosperar en los términos propuestos, sin perjuicio de la aclaración que seguidamente se formula.</w:t>
      </w:r>
    </w:p>
    <w:p>
      <w:pPr>
        <w:pStyle w:val="[Normal]"/>
        <w:spacing w:line="360" w:lineRule="auto"/>
        <w:ind w:firstLine="1134"/>
        <w:jc w:val="both"/>
        <w:rPr>
          <w:lang w:val="es-AR" w:eastAsia="es-AR" w:bidi="es-AR"/>
        </w:rPr>
      </w:pPr>
      <w:r>
        <w:rPr>
          <w:lang w:val="es-AR" w:eastAsia="es-AR" w:bidi="es-AR"/>
        </w:rPr>
        <w:t xml:space="preserve">La sentencia apelada no fijó los rubros a valores históricos, sino que expresamente indicó que los importes reconocidos habían sido cuantificados a valores contemporáneos al dictado del pronunciamiento y, sobre esa base, aplicó una tasa pura del 6% anual desde el hecho -09/03/2024- hasta la sentencia, y desde allí hasta el efectivo pago la tasa pasiva más alta del Banco de la Provincia de Buenos Aires.</w:t>
      </w:r>
    </w:p>
    <w:p>
      <w:pPr>
        <w:pStyle w:val="[Normal]"/>
        <w:spacing w:line="360" w:lineRule="auto"/>
        <w:ind w:firstLine="1134"/>
        <w:jc w:val="both"/>
        <w:rPr>
          <w:lang w:val="es-AR" w:eastAsia="es-AR" w:bidi="es-AR"/>
        </w:rPr>
      </w:pPr>
      <w:r>
        <w:rPr>
          <w:lang w:val="es-AR" w:eastAsia="es-AR" w:bidi="es-AR"/>
        </w:rPr>
        <w:t xml:space="preserve">Adelanto que no habré de recibir el agravio planteado.</w:t>
      </w:r>
    </w:p>
    <w:p>
      <w:pPr>
        <w:pStyle w:val="[Normal]"/>
        <w:spacing w:line="360" w:lineRule="auto"/>
        <w:ind w:firstLine="1134"/>
        <w:jc w:val="both"/>
        <w:rPr>
          <w:lang w:val="es-AR" w:eastAsia="es-AR" w:bidi="es-AR"/>
        </w:rPr>
      </w:pPr>
      <w:r>
        <w:rPr>
          <w:lang w:val="es-AR" w:eastAsia="es-AR" w:bidi="es-AR"/>
        </w:rPr>
        <w:t xml:space="preserve">Es que la actualización de un crédito es un mecanismo por medio del cual el objeto de la obligación se expresa a valores corrientes o de acuerdo a parámetros económicos actualizados.  Esto resulta especialmente necesario en contextos en los que transcurre tiempo entre el nacimiento y el cumplimiento de la obligación y una coyuntura inflacionaria altera el poder adquisitivo de la moneda en la que se expresa o se cuantifica la deuda (Cf. Cámara de Apelaciones en lo Civil y Comercial de Mar del Plata, </w:t>
      </w:r>
      <w:r>
        <w:rPr>
          <w:i/>
          <w:lang w:val="es-AR" w:eastAsia="es-AR" w:bidi="es-AR"/>
        </w:rPr>
        <w:t xml:space="preserve">“DOWNIE, Débora Paola c. LA MERCANTIL ANDINA s. CUMPLIMIENTO DE CONTRATO”,</w:t>
      </w:r>
      <w:r>
        <w:rPr>
          <w:lang w:val="es-AR" w:eastAsia="es-AR" w:bidi="es-AR"/>
        </w:rPr>
        <w:t xml:space="preserve"> 18/3/25).</w:t>
      </w:r>
    </w:p>
    <w:p>
      <w:pPr>
        <w:pStyle w:val="[Normal]"/>
        <w:spacing w:line="360" w:lineRule="auto"/>
        <w:ind w:firstLine="1134"/>
        <w:jc w:val="both"/>
        <w:rPr>
          <w:lang w:val="es-AR" w:eastAsia="es-AR" w:bidi="es-AR"/>
        </w:rPr>
      </w:pPr>
      <w:r>
        <w:rPr>
          <w:lang w:val="es-AR" w:eastAsia="es-AR" w:bidi="es-AR"/>
        </w:rPr>
        <w:t xml:space="preserve">Pero esa actualización, como género, contempla diversas especies.</w:t>
      </w:r>
    </w:p>
    <w:p>
      <w:pPr>
        <w:pStyle w:val="[Normal]"/>
        <w:spacing w:line="360" w:lineRule="auto"/>
        <w:ind w:firstLine="1134"/>
        <w:jc w:val="both"/>
        <w:rPr>
          <w:lang w:val="es-AR" w:eastAsia="es-AR" w:bidi="es-AR"/>
        </w:rPr>
      </w:pPr>
      <w:r>
        <w:rPr>
          <w:lang w:val="es-AR" w:eastAsia="es-AR" w:bidi="es-AR"/>
        </w:rPr>
        <w:t xml:space="preserve">Una es el reajuste o actualización por índices en la que el valor nominal del capital fluctúa al son de un parámetro o índice que opera como referencia externa, modalidad actualmente prohibida por los art. 7 y 10 de la Ley 23.928 y que ha sido declarada inconstitucional en el fallo "Barrios" conforme a las especiales circunstancias que se verificasen en dicha causa.</w:t>
      </w:r>
    </w:p>
    <w:p>
      <w:pPr>
        <w:pStyle w:val="[Normal]"/>
        <w:spacing w:line="360" w:lineRule="auto"/>
        <w:ind w:firstLine="1134"/>
        <w:jc w:val="both"/>
        <w:rPr>
          <w:lang w:val="es-AR" w:eastAsia="es-AR" w:bidi="es-AR"/>
        </w:rPr>
      </w:pPr>
      <w:r>
        <w:rPr>
          <w:lang w:val="es-AR" w:eastAsia="es-AR" w:bidi="es-AR"/>
        </w:rPr>
        <w:t xml:space="preserve">Otra es la valuación del daño a valores contemporáneos a la fecha de la sentencia (SCBA, "Vera, Juan Carlos contra Provincia de Buenos Aires. Daños y perjuicios", causa C. 120.536, 18/04/2018; </w:t>
      </w:r>
      <w:r>
        <w:rPr>
          <w:color w:val="000000"/>
          <w:shd w:val="clear" w:color="auto" w:fill="FFFFFF"/>
          <w:lang w:val="es-AR" w:eastAsia="es-AR" w:bidi="es-AR"/>
        </w:rPr>
        <w:t xml:space="preserve">SCJBA, "Nidera S. A. contra Provincia de Buenos Aires. Daños y perjuicios", C. 121.134, 3/5/2018) </w:t>
      </w:r>
      <w:r>
        <w:rPr>
          <w:lang w:val="es-AR" w:eastAsia="es-AR" w:bidi="es-AR"/>
        </w:rPr>
        <w:t xml:space="preserve">o difiriendo la valuación del daño a un momento ulterior (SCBA, entre muchísimos otros, véase c. 101.107 -“</w:t>
      </w:r>
      <w:r>
        <w:rPr>
          <w:i/>
          <w:lang w:val="es-AR" w:eastAsia="es-AR" w:bidi="es-AR"/>
        </w:rPr>
        <w:t xml:space="preserve">Arbizu</w:t>
      </w:r>
      <w:r>
        <w:rPr>
          <w:lang w:val="es-AR" w:eastAsia="es-AR" w:bidi="es-AR"/>
        </w:rPr>
        <w:t xml:space="preserve">...”- del 23/03/2010 c. 117735 -"</w:t>
      </w:r>
      <w:r>
        <w:rPr>
          <w:i/>
          <w:lang w:val="es-AR" w:eastAsia="es-AR" w:bidi="es-AR"/>
        </w:rPr>
        <w:t xml:space="preserve">Bi Launek</w:t>
      </w:r>
      <w:r>
        <w:rPr>
          <w:lang w:val="es-AR" w:eastAsia="es-AR" w:bidi="es-AR"/>
        </w:rPr>
        <w:t xml:space="preserve">"- del 24/09/2014, c. 117501 -"</w:t>
      </w:r>
      <w:r>
        <w:rPr>
          <w:i/>
          <w:lang w:val="es-AR" w:eastAsia="es-AR" w:bidi="es-AR"/>
        </w:rPr>
        <w:t xml:space="preserve">Martinez</w:t>
      </w:r>
      <w:r>
        <w:rPr>
          <w:lang w:val="es-AR" w:eastAsia="es-AR" w:bidi="es-AR"/>
        </w:rPr>
        <w:t xml:space="preserve">"- del 04/03/2015).  En ambas, campea la noción de deuda de valor que, con el claro propósito de evitar las distorsiones que genera el nominalismo en coyunturas inflacionarias— permite concebir al objeto debido como un </w:t>
      </w:r>
      <w:r>
        <w:rPr>
          <w:i/>
          <w:lang w:val="es-AR" w:eastAsia="es-AR" w:bidi="es-AR"/>
        </w:rPr>
        <w:t xml:space="preserve">quid </w:t>
      </w:r>
      <w:r>
        <w:rPr>
          <w:lang w:val="es-AR" w:eastAsia="es-AR" w:bidi="es-AR"/>
        </w:rPr>
        <w:t xml:space="preserve">o </w:t>
      </w:r>
      <w:r>
        <w:rPr>
          <w:i/>
          <w:lang w:val="es-AR" w:eastAsia="es-AR" w:bidi="es-AR"/>
        </w:rPr>
        <w:t xml:space="preserve">valor </w:t>
      </w:r>
      <w:r>
        <w:rPr>
          <w:lang w:val="es-AR" w:eastAsia="es-AR" w:bidi="es-AR"/>
        </w:rPr>
        <w:t xml:space="preserve">a ser cuantificado en un momento posterior al nacimiento de la deuda o incluso expresarlo en una moneda sin curso legal.</w:t>
      </w:r>
    </w:p>
    <w:p>
      <w:pPr>
        <w:pStyle w:val="[Normal]"/>
        <w:spacing w:line="360" w:lineRule="auto"/>
        <w:ind w:firstLine="1134"/>
        <w:jc w:val="both"/>
        <w:rPr>
          <w:lang w:val="es-AR" w:eastAsia="es-AR" w:bidi="es-AR"/>
        </w:rPr>
      </w:pPr>
      <w:r>
        <w:rPr>
          <w:lang w:val="es-AR" w:eastAsia="es-AR" w:bidi="es-AR"/>
        </w:rPr>
        <w:t xml:space="preserve">Finalmente, la solución tradicional ha sido procurar dicha actualización mediante el uso de una tasa de interés moratoria como mecanismo indirecto de actualización (CSJN Fallos: 347:1446, in re “</w:t>
      </w:r>
      <w:r>
        <w:rPr>
          <w:i/>
          <w:lang w:val="es-AR" w:eastAsia="es-AR" w:bidi="es-AR"/>
        </w:rPr>
        <w:t xml:space="preserve">Barrientos, Gabriela </w:t>
      </w:r>
      <w:r>
        <w:rPr>
          <w:lang w:val="es-AR" w:eastAsia="es-AR" w:bidi="es-AR"/>
        </w:rPr>
        <w:t xml:space="preserve">“, del 15/10/2024).</w:t>
      </w:r>
    </w:p>
    <w:p>
      <w:pPr>
        <w:pStyle w:val="[Normal]"/>
        <w:spacing w:line="360" w:lineRule="auto"/>
        <w:ind w:firstLine="1134"/>
        <w:jc w:val="both"/>
        <w:rPr>
          <w:lang w:val="es-AR" w:eastAsia="es-AR" w:bidi="es-AR"/>
        </w:rPr>
      </w:pPr>
      <w:r>
        <w:rPr>
          <w:lang w:val="es-AR" w:eastAsia="es-AR" w:bidi="es-AR"/>
        </w:rPr>
        <w:t xml:space="preserve">Con lo expuesto, queda en evidencia que actualizar no necesariamente supone repotenciar o reajustar por índices, toda vez que se puede llegar al primer resultado (actualización) a través de distintas vías o métodos.</w:t>
      </w:r>
    </w:p>
    <w:p>
      <w:pPr>
        <w:pStyle w:val="[Normal]"/>
        <w:spacing w:line="360" w:lineRule="auto"/>
        <w:ind w:firstLine="1134"/>
        <w:jc w:val="both"/>
        <w:rPr>
          <w:i/>
          <w:lang w:val="es-AR" w:eastAsia="es-AR" w:bidi="es-AR"/>
        </w:rPr>
      </w:pPr>
      <w:r>
        <w:rPr>
          <w:lang w:val="es-AR" w:eastAsia="es-AR" w:bidi="es-AR"/>
        </w:rPr>
        <w:t xml:space="preserve">La conveniencia de indexar un crédito (en contraste con utilizar tasas bancarias sobre el tramo dinerario de una deuda de valor ya cuantificada) dependerá de las características del caso, de numerosas variables macroeconómicas y de la extensión temporal de la mora, entre otras variables.  En particular, depende de cuándo el valor fue convertido a dinero, cuándo se cancela la deuda, cómo es la evolución comparada de las tasas y el IPC en los períodos posteriores a la conversión, etcétera.  Con un índice de inflación decreciente no son pocos los escenarios en los que al actor le conviene que a su deuda de valor ya convertida en dinero se le incorpore una tasa de interés activa en contraste con el mero reajuste por índices y una tasa pura del 6% anual (cf. cit. Cámara de Apelaciones en lo Civil y Comercial de Mar del Plata, </w:t>
      </w:r>
      <w:r>
        <w:rPr>
          <w:i/>
          <w:lang w:val="es-AR" w:eastAsia="es-AR" w:bidi="es-AR"/>
        </w:rPr>
        <w:t xml:space="preserve">“DOWNIE...").</w:t>
      </w:r>
    </w:p>
    <w:p>
      <w:pPr>
        <w:pStyle w:val="[Normal]"/>
        <w:spacing w:line="360" w:lineRule="auto"/>
        <w:ind w:firstLine="1134"/>
        <w:jc w:val="both"/>
        <w:rPr>
          <w:i/>
          <w:lang w:val="es-AR" w:eastAsia="es-AR" w:bidi="es-AR"/>
        </w:rPr>
      </w:pPr>
      <w:r>
        <w:rPr>
          <w:lang w:val="es-AR" w:eastAsia="es-AR" w:bidi="es-AR"/>
        </w:rPr>
        <w:t xml:space="preserve">En este sentido, bien se ha dicho que:</w:t>
      </w:r>
      <w:r>
        <w:rPr>
          <w:i/>
          <w:lang w:val="es-AR" w:eastAsia="es-AR" w:bidi="es-AR"/>
        </w:rPr>
        <w:t xml:space="preserve"> "la aplicación automatizada de indexaciones (...), sin evaluar su resultado en cada caso concreto (según la evolución de las tasas e índices en los períodos implicados), constituye una práctica potencialmente problemática que incrementa un doble riesgo: (a) el primero, dictar decisiones incongruentes que afecten derechos fundamentales de los litigantes; (b) el segundo, asignarle a la jurisdicción un rol institucional que no le es propio, pues el juzgador termina por prescindir de la voluntad del titular de un derecho patrimonial disponible (quien, asesorado por un abogado de matrícula, elige libremente cómo proteger su acreencia frente a la inflación) y la reemplaza por una decisión estatal oficiosa que, paradójicamente, tiene aptitud para perjudicar o empeorar la situación de aquel a quien se intenta proteger (arts. 18 CN y 15 CPBA; mi voto en causa 170768 -"Banco de la Provincia de Buenos Aires c/ Cambre, Mauro"- sent. del 12/03/2021)"</w:t>
      </w:r>
      <w:r>
        <w:rPr>
          <w:lang w:val="es-AR" w:eastAsia="es-AR" w:bidi="es-AR"/>
        </w:rPr>
        <w:t xml:space="preserve"> (cit . Cámara de Apelaciones en lo Civil y Comercial de Mar del Plata, </w:t>
      </w:r>
      <w:r>
        <w:rPr>
          <w:i/>
          <w:lang w:val="es-AR" w:eastAsia="es-AR" w:bidi="es-AR"/>
        </w:rPr>
        <w:t xml:space="preserve">“DOWNIE...").</w:t>
      </w:r>
    </w:p>
    <w:p>
      <w:pPr>
        <w:pStyle w:val="[Normal]"/>
        <w:spacing w:line="360" w:lineRule="auto"/>
        <w:ind w:firstLine="1134"/>
        <w:jc w:val="both"/>
        <w:rPr>
          <w:lang w:val="es-AR" w:eastAsia="es-AR" w:bidi="es-AR"/>
        </w:rPr>
      </w:pPr>
      <w:r>
        <w:rPr>
          <w:lang w:val="es-AR" w:eastAsia="es-AR" w:bidi="es-AR"/>
        </w:rPr>
        <w:t xml:space="preserve">Finalmente, debe recordarse que la declaración de inconstitucionalidad (de ineludible aplicación a los fines de actualizar vía indexación) constituye una solución extrema que debe ceder ante la posibilidad de articular otros mecanismos que permitan arribar a una respuesta jurídica no lesiva de los derechos y garantías constitucionales.</w:t>
      </w:r>
    </w:p>
    <w:p>
      <w:pPr>
        <w:pStyle w:val="[Normal]"/>
        <w:spacing w:line="360" w:lineRule="auto"/>
        <w:ind w:firstLine="1134"/>
        <w:jc w:val="both"/>
        <w:rPr>
          <w:lang w:val="es-AR" w:eastAsia="es-AR" w:bidi="es-AR"/>
        </w:rPr>
      </w:pPr>
      <w:r>
        <w:rPr>
          <w:lang w:val="es-AR" w:eastAsia="es-AR" w:bidi="es-AR"/>
        </w:rPr>
        <w:t xml:space="preserve">En relación a ello, y vinculado a la temática en ciernes, la Corte Suprema de Justicia de la Provincia de Buenos Aires, en el caso </w:t>
      </w:r>
      <w:r>
        <w:rPr>
          <w:i/>
          <w:lang w:val="es-AR" w:eastAsia="es-AR" w:bidi="es-AR"/>
        </w:rPr>
        <w:t xml:space="preserve">"Barrios"</w:t>
      </w:r>
      <w:r>
        <w:rPr>
          <w:lang w:val="es-AR" w:eastAsia="es-AR" w:bidi="es-AR"/>
        </w:rPr>
        <w:t xml:space="preserve"> -que ya fuera citado-, estableció claramente que la declaración de inconstitucionalidad del artículo 7 de la ley 23.928 (que prohíbe la indexación) debe ser considerada como la última ratio.  Antes de recurrir a esta medida excepcional, los jueces deben agotar otras alternativas y mecanismos legales disponibles para proteger el crédito afectado por la inflación.</w:t>
      </w:r>
    </w:p>
    <w:p>
      <w:pPr>
        <w:pStyle w:val="[Normal]"/>
        <w:spacing w:line="360" w:lineRule="auto"/>
        <w:ind w:firstLine="1134"/>
        <w:jc w:val="both"/>
        <w:rPr>
          <w:lang w:val="es-AR" w:eastAsia="es-AR" w:bidi="es-AR"/>
        </w:rPr>
      </w:pPr>
      <w:r>
        <w:rPr>
          <w:lang w:val="es-AR" w:eastAsia="es-AR" w:bidi="es-AR"/>
        </w:rPr>
        <w:t xml:space="preserve">Según el fallo, los jueces tienen mayor libertad para definir el mecanismo de protección del crédito mientras se debate en el proceso.  No solo pueden, sino que deben preferir cualquier solución no indexatoria, incluso mediante la aplicación analógica de normas.  La solución constitucional, es decir, la declaración de inconstitucionalidad y el reajuste del crédito por índice, fue, es y seguirá siendo la última opción disponible.</w:t>
      </w:r>
    </w:p>
    <w:p>
      <w:pPr>
        <w:pStyle w:val="[Normal]"/>
        <w:spacing w:line="360" w:lineRule="auto"/>
        <w:ind w:firstLine="1134"/>
        <w:jc w:val="both"/>
        <w:rPr>
          <w:lang w:val="es-AR" w:eastAsia="es-AR" w:bidi="es-AR"/>
        </w:rPr>
      </w:pPr>
      <w:r>
        <w:rPr>
          <w:lang w:val="es-AR" w:eastAsia="es-AR" w:bidi="es-AR"/>
        </w:rPr>
        <w:t xml:space="preserve">El ministro Soria ha sido enfático en este punto, indicando que solo excepcionalmente, y cuando esas herramientas o caminos alternativos no logren el fin propuesto y decanten en una intolerable afectación del derecho creditorio del actor, puede el tribunal declarar la inconstitucionalidad del art. 7 de la Ley 23.928, y siempre que las demás condiciones del caso lo justifiquen.</w:t>
      </w:r>
    </w:p>
    <w:p>
      <w:pPr>
        <w:pStyle w:val="[Normal]"/>
        <w:spacing w:line="360" w:lineRule="auto"/>
        <w:ind w:firstLine="1134"/>
        <w:jc w:val="both"/>
        <w:rPr>
          <w:lang w:val="es-AR" w:eastAsia="es-AR" w:bidi="es-AR"/>
        </w:rPr>
      </w:pPr>
      <w:r>
        <w:rPr>
          <w:lang w:val="es-AR" w:eastAsia="es-AR" w:bidi="es-AR"/>
        </w:rPr>
        <w:t xml:space="preserve">En virtud de ello, y atento a que no se ha demostrado la inadecuación constitucional de la fórmula indemnizatoria aplicada en la condena (determinación actual del daño con tasa pura hasta el momento de la sentencia y luego aplicación de tasa pasiva más alta) en el caso concreto, siendo ello una carga probatoria imponible a quien requiere la aplicación de dicha doctrina de excepción, propiciaré la confirmación del resolutorio de grado.</w:t>
      </w:r>
    </w:p>
    <w:p>
      <w:pPr>
        <w:pStyle w:val="[Normal]"/>
        <w:spacing w:line="360" w:lineRule="auto"/>
        <w:ind w:firstLine="1134"/>
        <w:jc w:val="both"/>
        <w:rPr>
          <w:lang w:val="es-AR" w:eastAsia="es-AR" w:bidi="es-AR"/>
        </w:rPr>
      </w:pPr>
      <w:r>
        <w:rPr>
          <w:lang w:val="es-AR" w:eastAsia="es-AR" w:bidi="es-AR"/>
        </w:rPr>
        <w:t xml:space="preserve">Resta efectuar una consideración adicional vinculada con el método de cálculo utilizado por el juez de grado.</w:t>
      </w:r>
    </w:p>
    <w:p>
      <w:pPr>
        <w:pStyle w:val="[Normal]"/>
        <w:spacing w:line="360" w:lineRule="auto"/>
        <w:ind w:firstLine="1134"/>
        <w:jc w:val="both"/>
        <w:rPr>
          <w:lang w:val="es-AR" w:eastAsia="es-AR" w:bidi="es-AR"/>
        </w:rPr>
      </w:pPr>
      <w:r>
        <w:rPr>
          <w:lang w:val="es-AR" w:eastAsia="es-AR" w:bidi="es-AR"/>
        </w:rPr>
        <w:t xml:space="preserve">En efecto, no se advierte que la sentencia haya determinado la indemnización mediante una simple sumatoria aritmética de ingresos futuros.  Si bien el desarrollo matemático no fue explicitado con absoluto detalle, el pronunciamiento indicó que aplicaría una fórmula de renta constante, tomando como base el haber jubilatorio mínimo vigente al momento de sentenciar, un lapso de ocho años conforme la expectativa de vida ponderada y un aporte del 60% en favor de la cónyuge supérstite.</w:t>
      </w:r>
    </w:p>
    <w:p>
      <w:pPr>
        <w:pStyle w:val="[Normal]"/>
        <w:spacing w:line="360" w:lineRule="auto"/>
        <w:ind w:firstLine="1134"/>
        <w:jc w:val="both"/>
        <w:rPr>
          <w:lang w:val="es-AR" w:eastAsia="es-AR" w:bidi="es-AR"/>
        </w:rPr>
      </w:pPr>
      <w:r>
        <w:rPr>
          <w:lang w:val="es-AR" w:eastAsia="es-AR" w:bidi="es-AR"/>
        </w:rPr>
        <w:t xml:space="preserve">El resultado obtenido permite inferir que el capital fue fijado mediante un mecanismo de valor presente, es decir, con incidencia de una tasa de descuento, y no como una acumulación lineal de prestaciones futuras.  Por ello, no corresponde receptar la crítica en cuanto presupone que la sentencia omitió descontar financieramente los ingresos proyectados.</w:t>
      </w:r>
    </w:p>
    <w:p>
      <w:pPr>
        <w:pStyle w:val="[Normal]"/>
        <w:spacing w:line="360" w:lineRule="auto"/>
        <w:ind w:firstLine="1134"/>
        <w:jc w:val="both"/>
        <w:rPr>
          <w:lang w:val="es-AR" w:eastAsia="es-AR" w:bidi="es-AR"/>
        </w:rPr>
      </w:pPr>
      <w:r>
        <w:rPr>
          <w:lang w:val="es-AR" w:eastAsia="es-AR" w:bidi="es-AR"/>
        </w:rPr>
        <w:t xml:space="preserve">De todos modos, esa aclaración no modifica la solución adoptada respecto del rubro. La suma reconocida a favor de Amabilia Julia Camocardi se mantiene por resultar razonable a la luz de las variables utilizadas, mientras que el rechazo del reclamo formulado por Matías Ezequiel Luciani se confirma por falta de prueba suficiente de un perjuicio patrimonial autónomo derivado del fallecimiento de su padre.</w:t>
      </w:r>
    </w:p>
    <w:p>
      <w:pPr>
        <w:pStyle w:val="[Normal]"/>
        <w:spacing w:line="360" w:lineRule="auto"/>
        <w:ind w:firstLine="1134"/>
        <w:jc w:val="both"/>
        <w:rPr>
          <w:lang w:val="es-AR" w:eastAsia="es-AR" w:bidi="es-AR"/>
        </w:rPr>
      </w:pPr>
      <w:r>
        <w:rPr>
          <w:lang w:val="es-AR" w:eastAsia="es-AR" w:bidi="es-AR"/>
        </w:rPr>
        <w:t xml:space="preserve">IV. Finalmente, corresponde abordar el agravio de la parte actora referido a la omisión de tratamiento suficiente del límite de cobertura de la póliza que amparaba al Ford Eco Sport dominio AA408QJ.</w:t>
      </w:r>
    </w:p>
    <w:p>
      <w:pPr>
        <w:pStyle w:val="[Normal]"/>
        <w:spacing w:line="360" w:lineRule="auto"/>
        <w:ind w:firstLine="1134"/>
        <w:jc w:val="both"/>
        <w:rPr>
          <w:lang w:val="es-AR" w:eastAsia="es-AR" w:bidi="es-AR"/>
        </w:rPr>
      </w:pPr>
      <w:r>
        <w:rPr>
          <w:lang w:val="es-AR" w:eastAsia="es-AR" w:bidi="es-AR"/>
        </w:rPr>
        <w:t xml:space="preserve">El planteo merece recepción parcial.</w:t>
      </w:r>
    </w:p>
    <w:p>
      <w:pPr>
        <w:pStyle w:val="[Normal]"/>
        <w:spacing w:line="360" w:lineRule="auto"/>
        <w:ind w:firstLine="1134"/>
        <w:jc w:val="both"/>
        <w:rPr>
          <w:lang w:val="es-AR" w:eastAsia="es-AR" w:bidi="es-AR"/>
        </w:rPr>
      </w:pPr>
      <w:r>
        <w:rPr>
          <w:lang w:val="es-AR" w:eastAsia="es-AR" w:bidi="es-AR"/>
        </w:rPr>
        <w:t xml:space="preserve">En primer lugar, asiste razón a la recurrente en cuanto señala que la sentencia debió pronunciarse expresamente sobre la extensión de la condena respecto de la citada en garantía.  La cuestión había sido introducida en el proceso, pues Seguros Bernardino Rivadavia Cooperativa Limitada reconoció la existencia de cobertura respecto del Ford Eco Sport dominio AA408QJ bajo la póliza N° 061-02-0213305-000, con vigencia al momento del siniestro, y denunció un límite de cobertura de $80.000.000.  La actora, a su turno, cuestionó la suficiencia de ese límite histórico y solicitó su adecuación conforme la doctrina legal vigente.</w:t>
      </w:r>
    </w:p>
    <w:p>
      <w:pPr>
        <w:pStyle w:val="[Normal]"/>
        <w:spacing w:line="360" w:lineRule="auto"/>
        <w:ind w:firstLine="1134"/>
        <w:jc w:val="both"/>
        <w:rPr>
          <w:lang w:val="es-AR" w:eastAsia="es-AR" w:bidi="es-AR"/>
        </w:rPr>
      </w:pPr>
      <w:r>
        <w:rPr>
          <w:lang w:val="es-AR" w:eastAsia="es-AR" w:bidi="es-AR"/>
        </w:rPr>
        <w:t xml:space="preserve">En tal sentido, el art. 273 del CPCC faculta a este Tribunal a pronunciarse sobre capítulos no resueltos por la sentencia de grado, aún cuando no se hubiese deducido pedido de aclaratoria, siempre que la cuestión haya sido sometida a consideración mediante la expresión de agravios.</w:t>
      </w:r>
    </w:p>
    <w:p>
      <w:pPr>
        <w:pStyle w:val="[Normal]"/>
        <w:spacing w:line="360" w:lineRule="auto"/>
        <w:ind w:firstLine="1134"/>
        <w:jc w:val="both"/>
        <w:rPr>
          <w:lang w:val="es-AR" w:eastAsia="es-AR" w:bidi="es-AR"/>
        </w:rPr>
      </w:pPr>
      <w:r>
        <w:rPr>
          <w:lang w:val="es-AR" w:eastAsia="es-AR" w:bidi="es-AR"/>
        </w:rPr>
        <w:t xml:space="preserve">Sobre dicha base, resulta claro que la omisión no puede ser mantenida, pues el art. 118 de la Ley de Seguros dispone que la sentencia será ejecutable contra el asegurador </w:t>
      </w:r>
      <w:r>
        <w:rPr>
          <w:i/>
          <w:lang w:val="es-AR" w:eastAsia="es-AR" w:bidi="es-AR"/>
        </w:rPr>
        <w:t xml:space="preserve">“en la medida del seguro”</w:t>
      </w:r>
      <w:r>
        <w:rPr>
          <w:lang w:val="es-AR" w:eastAsia="es-AR" w:bidi="es-AR"/>
        </w:rPr>
        <w:t xml:space="preserve">.  De allí que, una vez citada la aseguradora y admitida su intervención en el proceso, corresponde precisar cuál es la extensión cuantitativa de esa medida, máxime cuando el límite denunciado puede incidir concretamente en la etapa de cumplimiento de la sentencia.</w:t>
      </w:r>
    </w:p>
    <w:p>
      <w:pPr>
        <w:pStyle w:val="[Normal]"/>
        <w:spacing w:line="360" w:lineRule="auto"/>
        <w:ind w:firstLine="1134"/>
        <w:jc w:val="both"/>
        <w:rPr>
          <w:lang w:val="es-AR" w:eastAsia="es-AR" w:bidi="es-AR"/>
        </w:rPr>
      </w:pPr>
      <w:r>
        <w:rPr>
          <w:lang w:val="es-AR" w:eastAsia="es-AR" w:bidi="es-AR"/>
        </w:rPr>
        <w:t xml:space="preserve">Ahora bien, la solución no consiste en declarar la inexistencia del límite ni en transformar la cobertura contratada en una garantía ilimitada.  La Suprema Corte de Justicia provincial ha reiterado que las cláusulas de delimitación cuantitativa del riesgo son, en principio, oponibles al damnificado.  Sin embargo, también ha establecido que, cuando el daño es valuado judicialmente a valores actuales y ha transcurrido un lapso relevante entre el siniestro, la contratación y la sentencia, la aplicación literal del límite nominal histórico puede tornarse irrazonable, desnaturalizar la finalidad económico-social del seguro y generar un infraseguro sobreviniente.</w:t>
      </w:r>
    </w:p>
    <w:p>
      <w:pPr>
        <w:pStyle w:val="[Normal]"/>
        <w:spacing w:line="360" w:lineRule="auto"/>
        <w:ind w:firstLine="1134"/>
        <w:jc w:val="both"/>
        <w:rPr>
          <w:lang w:val="es-AR" w:eastAsia="es-AR" w:bidi="es-AR"/>
        </w:rPr>
      </w:pPr>
      <w:r>
        <w:rPr>
          <w:lang w:val="es-AR" w:eastAsia="es-AR" w:bidi="es-AR"/>
        </w:rPr>
        <w:t xml:space="preserve">En el precedente “Martínez”, la Suprema Corte bonaerense sostuvo que la aplicación literal del límite histórico se mostraba </w:t>
      </w:r>
      <w:r>
        <w:rPr>
          <w:i/>
          <w:lang w:val="es-AR" w:eastAsia="es-AR" w:bidi="es-AR"/>
        </w:rPr>
        <w:t xml:space="preserve">“ostensiblemente irrazonable”</w:t>
      </w:r>
      <w:r>
        <w:rPr>
          <w:lang w:val="es-AR" w:eastAsia="es-AR" w:bidi="es-AR"/>
        </w:rPr>
        <w:t xml:space="preserve"> por </w:t>
      </w:r>
      <w:r>
        <w:rPr>
          <w:i/>
          <w:lang w:val="es-AR" w:eastAsia="es-AR" w:bidi="es-AR"/>
        </w:rPr>
        <w:t xml:space="preserve">“desnaturalizar el vínculo asegurativo”</w:t>
      </w:r>
      <w:r>
        <w:rPr>
          <w:lang w:val="es-AR" w:eastAsia="es-AR" w:bidi="es-AR"/>
        </w:rPr>
        <w:t xml:space="preserve"> y generar un </w:t>
      </w:r>
      <w:r>
        <w:rPr>
          <w:i/>
          <w:lang w:val="es-AR" w:eastAsia="es-AR" w:bidi="es-AR"/>
        </w:rPr>
        <w:t xml:space="preserve">“sobreviniente carácter irrisorio” de la cobertura"</w:t>
      </w:r>
      <w:r>
        <w:rPr>
          <w:lang w:val="es-AR" w:eastAsia="es-AR" w:bidi="es-AR"/>
        </w:rPr>
        <w:t xml:space="preserve"> (SCBA, C. 119.088, “Martínez, Emir contra Boito, Alfredo Alberto. Daños y perjuicios”, sent. del 21-II-2018).  Esa doctrina fue luego recordada y aplicada en “G., O. A.”, donde el Tribunal señaló que el cálculo de la cobertura debía efectuarse “al momento de la evaluación judicial del daño” para “mantener la justa homogeneidad de los valores implicados” (SCBA, C. 127.473, “G., O. A. y otro contra Rodríguez, Marcelo Andrés y otro. Daños y perjuicios”, sent. del 2025).</w:t>
      </w:r>
    </w:p>
    <w:p>
      <w:pPr>
        <w:pStyle w:val="[Normal]"/>
        <w:spacing w:line="360" w:lineRule="auto"/>
        <w:ind w:firstLine="1134"/>
        <w:jc w:val="both"/>
        <w:rPr>
          <w:lang w:val="es-AR" w:eastAsia="es-AR" w:bidi="es-AR"/>
        </w:rPr>
      </w:pPr>
      <w:r>
        <w:rPr>
          <w:lang w:val="es-AR" w:eastAsia="es-AR" w:bidi="es-AR"/>
        </w:rPr>
        <w:t xml:space="preserve">La Cámara de Apelación en lo Civil y Comercial de Pergamino ha seguido esa doctrina legal.  En el precedente acompañado, este Tribunal sostuvo que, en tales supuestos, </w:t>
      </w:r>
      <w:r>
        <w:rPr>
          <w:i/>
          <w:lang w:val="es-AR" w:eastAsia="es-AR" w:bidi="es-AR"/>
        </w:rPr>
        <w:t xml:space="preserve">“la condena debe abarcar, como mínimo, la cobertura básica vigente al momento de la sentencia definitiva”,</w:t>
      </w:r>
      <w:r>
        <w:rPr>
          <w:lang w:val="es-AR" w:eastAsia="es-AR" w:bidi="es-AR"/>
        </w:rPr>
        <w:t xml:space="preserve"> pero </w:t>
      </w:r>
      <w:r>
        <w:rPr>
          <w:i/>
          <w:lang w:val="es-AR" w:eastAsia="es-AR" w:bidi="es-AR"/>
        </w:rPr>
        <w:t xml:space="preserve">“sin perjuicio de que el límite contratado -si fuera superior- opere como techo”</w:t>
      </w:r>
      <w:r>
        <w:rPr>
          <w:lang w:val="es-AR" w:eastAsia="es-AR" w:bidi="es-AR"/>
        </w:rPr>
        <w:t xml:space="preserve">. De allí derivó una fórmula concreta: </w:t>
      </w:r>
      <w:r>
        <w:rPr>
          <w:i/>
          <w:lang w:val="es-AR" w:eastAsia="es-AR" w:bidi="es-AR"/>
        </w:rPr>
        <w:t xml:space="preserve">“La obligación de responder de la citada deberá extenderse hasta el mayor (límite) de: i) la cobertura básica obligatoria vigente a la fecha de la sentencia (...), o ii) el límite contractual si resultare superior”</w:t>
      </w:r>
      <w:r>
        <w:rPr>
          <w:lang w:val="es-AR" w:eastAsia="es-AR" w:bidi="es-AR"/>
        </w:rPr>
        <w:t xml:space="preserve"> (Cámara de Apelación en lo Civil y Comercial de Pergamino, causa N° 5787-25, “Tirimaco María Agustina c/ Ballianti María Virginia y otros s/ daños y perjuicios automotor c/ lesiones o muerte -exc. Estado-”, Expte. N° 66.905 del Juzgado en lo Civil y Comercial N° 3 de Pergamino).</w:t>
      </w:r>
    </w:p>
    <w:p>
      <w:pPr>
        <w:pStyle w:val="[Normal]"/>
        <w:spacing w:line="360" w:lineRule="auto"/>
        <w:ind w:firstLine="1134"/>
        <w:jc w:val="both"/>
        <w:rPr>
          <w:lang w:val="es-AR" w:eastAsia="es-AR" w:bidi="es-AR"/>
        </w:rPr>
      </w:pPr>
      <w:r>
        <w:rPr>
          <w:lang w:val="es-AR" w:eastAsia="es-AR" w:bidi="es-AR"/>
        </w:rPr>
        <w:t xml:space="preserve">Esa fórmula es la que mejor se adecua al caso. Si se tomara únicamente la cobertura básica vigente al momento de la sentencia, podría llegarse al resultado de reducir una cobertura voluntaria superior que las partes efectivamente contrataron.  Por el contrario, si se tomara exclusivamente el límite nominal histórico, podría frustrarse la finalidad del seguro por efecto de la depreciación monetaria y del tiempo transcurrido entre el siniestro y la valuación judicial del daño.  La solución adecuada consiste, entonces, en sustituir el componente histórico por el parámetro vigente, pero respetando el mayor límite contractual si éste resultara superior.</w:t>
      </w:r>
    </w:p>
    <w:p>
      <w:pPr>
        <w:pStyle w:val="[Normal]"/>
        <w:spacing w:line="360" w:lineRule="auto"/>
        <w:ind w:firstLine="1134"/>
        <w:jc w:val="both"/>
        <w:rPr>
          <w:lang w:val="es-AR" w:eastAsia="es-AR" w:bidi="es-AR"/>
        </w:rPr>
      </w:pPr>
      <w:r>
        <w:rPr>
          <w:lang w:val="es-AR" w:eastAsia="es-AR" w:bidi="es-AR"/>
        </w:rPr>
        <w:t xml:space="preserve">En consecuencia, corresponde hacer lugar parcialmente al agravio, integrar la sentencia apelada y disponer que la condena contra Seguros Bernardino Rivadavia Cooperativa Limitada será ejecutable en la medida del seguro, entendida como el mayor de los siguientes límites: a) la cobertura obligatoria o reglamentaria vigente para la misma categoría de seguro al momento de la sentencia definitiva o de la valuación judicial del daño; o b) el límite contractual pactado, si éste resultare superior.</w:t>
      </w:r>
    </w:p>
    <w:p>
      <w:pPr>
        <w:pStyle w:val="[Normal]"/>
        <w:spacing w:line="360" w:lineRule="auto"/>
        <w:ind w:firstLine="1134"/>
        <w:jc w:val="both"/>
        <w:rPr>
          <w:lang w:val="es-AR" w:eastAsia="es-AR" w:bidi="es-AR"/>
        </w:rPr>
      </w:pPr>
      <w:r>
        <w:rPr>
          <w:lang w:val="es-AR" w:eastAsia="es-AR" w:bidi="es-AR"/>
        </w:rPr>
        <w:t xml:space="preserve">Esta solución no altera la distribución causal establecida en esta sentencia.  La aseguradora no responderá por la totalidad del daño, sino únicamente por la porción de condena atribuida a sus asegurados Viviana Aurelia Velázquez y Hugo Osvaldo Méndez, esto es, el 20% del crédito indemnizatorio, con más los intereses, costas y accesorios que correspondan, todo ello dentro del límite de cobertura determinado conforme la pauta precedente.</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AFIRMATIVA.</w:t>
      </w:r>
    </w:p>
    <w:p>
      <w:pPr>
        <w:pStyle w:val="[Normal]"/>
        <w:spacing w:line="360" w:lineRule="auto"/>
        <w:ind w:firstLine="1134"/>
        <w:jc w:val="both"/>
        <w:rPr>
          <w:lang w:val="es-AR" w:eastAsia="es-AR" w:bidi="es-AR"/>
        </w:rPr>
      </w:pPr>
      <w:r>
        <w:rPr>
          <w:lang w:val="es-AR" w:eastAsia="es-AR" w:bidi="es-AR"/>
        </w:rPr>
        <w:t xml:space="preserve">A la misma cuestión el señor Juez Roberto Degleue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la señora Jueza Graciela Scaraffia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1) Hacer lugar parcialmente al recurso de apelación interpuesto por la parte actora y modificar la sentencia apelada en cuanto al monto reconocido por consecuencias no patrimoniales, el que se fija en la suma de pesos dieciocho millones ($18.000.000) a favor de Amabilia Julia Camocardi y en la suma de pesos catorce millones ($14.000.000) a favor de Matías Ezequiel Luciani, debiendo responder ante la parte actora del modo indicado en el considerando II de la presente sentencia.</w:t>
      </w:r>
    </w:p>
    <w:p>
      <w:pPr>
        <w:pStyle w:val="[Normal]"/>
        <w:spacing w:line="360" w:lineRule="auto"/>
        <w:ind w:firstLine="1134"/>
        <w:jc w:val="both"/>
        <w:rPr>
          <w:lang w:val="es-AR" w:eastAsia="es-AR" w:bidi="es-AR"/>
        </w:rPr>
      </w:pPr>
      <w:r>
        <w:rPr>
          <w:lang w:val="es-AR" w:eastAsia="es-AR" w:bidi="es-AR"/>
        </w:rPr>
        <w:t xml:space="preserve">2) Hacer lugar parcialmente al recurso de apelación interpuesto por Viviana Aurelia Velázquez, Hugo Osvaldo Méndez y Seguros Bernardino Rivadavia Cooperativa Limitada, modificando la distribución causal establecida en la instancia de origen, la que queda fijada en un setenta por ciento (70%) a cargo de Emanuel Antonio Díaz y en un treinta por ciento (30%) a cargo de Viviana Aurelia Velázquez y Hugo Osvaldo Méndez, con extensión a Seguros Bernardino Rivadavia Cooperativa Limitada en la medida del seguro en la forma dispuesta en el considerando IV.  Tales porcentajes -correspondientes al reparto causal establecido- no resultan oponibles a los actores como límite del crédito indemnizatorio reconocido en autos.</w:t>
      </w:r>
    </w:p>
    <w:p>
      <w:pPr>
        <w:pStyle w:val="[Normal]"/>
        <w:spacing w:line="360" w:lineRule="auto"/>
        <w:ind w:firstLine="1134"/>
        <w:jc w:val="both"/>
        <w:rPr>
          <w:lang w:val="es-AR" w:eastAsia="es-AR" w:bidi="es-AR"/>
        </w:rPr>
      </w:pPr>
      <w:r>
        <w:rPr>
          <w:lang w:val="es-AR" w:eastAsia="es-AR" w:bidi="es-AR"/>
        </w:rPr>
        <w:t xml:space="preserve">3) Rechazar el recurso de apelación interpuesto por Emanuel Antonio Díaz.</w:t>
      </w:r>
    </w:p>
    <w:p>
      <w:pPr>
        <w:pStyle w:val="[Normal]"/>
        <w:spacing w:line="360" w:lineRule="auto"/>
        <w:ind w:firstLine="1134"/>
        <w:jc w:val="both"/>
        <w:rPr>
          <w:lang w:val="es-AR" w:eastAsia="es-AR" w:bidi="es-AR"/>
        </w:rPr>
      </w:pPr>
      <w:r>
        <w:rPr>
          <w:lang w:val="es-AR" w:eastAsia="es-AR" w:bidi="es-AR"/>
        </w:rPr>
        <w:t xml:space="preserve">4) Imponer las costas de Alzada por su orden, atento la existencia de vencimientos parciales y recíprocos, con excepción de las generadas por el recurso de Emanuel Antonio Díaz, que se imponen a su cargo en su condición de vencido (arts. 68 y 71 del CPCC).</w:t>
      </w:r>
    </w:p>
    <w:p>
      <w:pPr>
        <w:pStyle w:val="[Normal]"/>
        <w:spacing w:line="360" w:lineRule="auto"/>
        <w:ind w:firstLine="1134"/>
        <w:jc w:val="both"/>
        <w:rPr>
          <w:lang w:val="es-AR" w:eastAsia="es-AR" w:bidi="es-AR"/>
        </w:rPr>
      </w:pPr>
      <w:r>
        <w:rPr>
          <w:lang w:val="es-AR" w:eastAsia="es-AR" w:bidi="es-AR"/>
        </w:rPr>
        <w:t xml:space="preserve">5) Diferir la regulación de honorarios para su oportunidad respectiva (art. 31, ley 14.967).</w:t>
      </w:r>
    </w:p>
    <w:p>
      <w:pPr>
        <w:pStyle w:val="[Normal]"/>
        <w:spacing w:line="360" w:lineRule="auto"/>
        <w:ind w:firstLine="1134"/>
        <w:jc w:val="both"/>
        <w:rPr>
          <w:lang w:val="es-AR" w:eastAsia="es-AR" w:bidi="es-AR"/>
        </w:rPr>
      </w:pPr>
      <w:r>
        <w:rPr>
          <w:b/>
          <w:lang w:val="es-AR" w:eastAsia="es-AR" w:bidi="es-AR"/>
        </w:rPr>
        <w:t xml:space="preserve">ASÍ LO VOTO. </w:t>
      </w:r>
    </w:p>
    <w:p>
      <w:pPr>
        <w:pStyle w:val="[Normal]"/>
        <w:spacing w:line="360" w:lineRule="auto"/>
        <w:ind w:firstLine="1134"/>
        <w:jc w:val="both"/>
        <w:rPr>
          <w:lang w:val="es-AR" w:eastAsia="es-AR" w:bidi="es-AR"/>
        </w:rPr>
      </w:pPr>
      <w:r>
        <w:rPr>
          <w:lang w:val="es-AR" w:eastAsia="es-AR" w:bidi="es-AR"/>
        </w:rPr>
        <w:t xml:space="preserve">A la misma cuestión el señor Juez Roberto Degleue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u w:val="single"/>
          <w:lang w:val="es-AR" w:eastAsia="es-AR" w:bidi="es-AR"/>
        </w:rPr>
        <w:t xml:space="preserve">S E N T E N C I A:</w:t>
      </w:r>
    </w:p>
    <w:p>
      <w:pPr>
        <w:pStyle w:val="[Normal]"/>
        <w:spacing w:line="360" w:lineRule="auto"/>
        <w:ind w:firstLine="1134"/>
        <w:jc w:val="both"/>
        <w:rPr>
          <w:lang w:val="es-AR" w:eastAsia="es-AR" w:bidi="es-AR"/>
        </w:rPr>
      </w:pPr>
      <w:r>
        <w:rPr>
          <w:lang w:val="es-AR" w:eastAsia="es-AR" w:bidi="es-AR"/>
        </w:rPr>
        <w:t xml:space="preserve">1) Hacer lugar parcialmente al recurso de apelación interpuesto por la parte actora y modificar la sentencia apelada en cuanto al monto reconocido por consecuencias no patrimoniales, el que se fija en la suma de pesos dieciocho millones ($18.000.000) a favor de Amabilia Julia Camocardi y en la suma de pesos catorce millones ($14.000.000) a favor de Matías Ezequiel Luciani, debiendo responder ante la parte actora del modo indicado en el considerando I.2. de la presente sentencia.</w:t>
      </w:r>
    </w:p>
    <w:p>
      <w:pPr>
        <w:pStyle w:val="[Normal]"/>
        <w:spacing w:line="360" w:lineRule="auto"/>
        <w:ind w:firstLine="1134"/>
        <w:jc w:val="both"/>
        <w:rPr>
          <w:lang w:val="es-AR" w:eastAsia="es-AR" w:bidi="es-AR"/>
        </w:rPr>
      </w:pPr>
      <w:r>
        <w:rPr>
          <w:lang w:val="es-AR" w:eastAsia="es-AR" w:bidi="es-AR"/>
        </w:rPr>
        <w:t xml:space="preserve">2) Hacer lugar parcialmente al recurso de apelación interpuesto por Viviana Aurelia Velázquez, Hugo Osvaldo Méndez y Seguros Bernardino Rivadavia Cooperativa Limitada, modificando la distribución causal establecida en la instancia de origen, la que queda fijada en un setenta por ciento (70%) a cargo de Emanuel Antonio Díaz y en un treinta por ciento (30%) a cargo de Viviana Aurelia Velázquez y Hugo Osvaldo Méndez, con extensión a Seguros Bernardino Rivadavia Cooperativa Limitada en la medida del seguro en la forma dispuesta en el considerando IV.  Tales porcentajes -correspondientes al reparto causal establecido- no resultan oponibles a los actores como límite del crédito indemnizatorio reconocido en autos.</w:t>
      </w:r>
    </w:p>
    <w:p>
      <w:pPr>
        <w:pStyle w:val="[Normal]"/>
        <w:spacing w:line="360" w:lineRule="auto"/>
        <w:ind w:firstLine="1134"/>
        <w:jc w:val="both"/>
        <w:rPr>
          <w:lang w:val="es-AR" w:eastAsia="es-AR" w:bidi="es-AR"/>
        </w:rPr>
      </w:pPr>
      <w:r>
        <w:rPr>
          <w:lang w:val="es-AR" w:eastAsia="es-AR" w:bidi="es-AR"/>
        </w:rPr>
        <w:t xml:space="preserve">3) Rechazar el recurso de apelación interpuesto por Emanuel Antonio Díaz.</w:t>
      </w:r>
    </w:p>
    <w:p>
      <w:pPr>
        <w:pStyle w:val="[Normal]"/>
        <w:spacing w:line="360" w:lineRule="auto"/>
        <w:ind w:firstLine="1134"/>
        <w:jc w:val="both"/>
        <w:rPr>
          <w:lang w:val="es-AR" w:eastAsia="es-AR" w:bidi="es-AR"/>
        </w:rPr>
      </w:pPr>
      <w:r>
        <w:rPr>
          <w:lang w:val="es-AR" w:eastAsia="es-AR" w:bidi="es-AR"/>
        </w:rPr>
        <w:t xml:space="preserve">4) Imponer las costas de Alzada por su orden, atento la existencia de vencimientos parciales y recíprocos, con excepción de las generadas por el recurso de Emanuel Antonio Díaz, que se imponen a su cargo en su condición de vencido (arts. 68 y 71 del CPCC).</w:t>
      </w:r>
    </w:p>
    <w:p>
      <w:pPr>
        <w:pStyle w:val="[Normal]"/>
        <w:spacing w:line="360" w:lineRule="auto"/>
        <w:ind w:firstLine="1134"/>
        <w:jc w:val="both"/>
        <w:rPr>
          <w:lang w:val="es-AR" w:eastAsia="es-AR" w:bidi="es-AR"/>
        </w:rPr>
      </w:pPr>
      <w:r>
        <w:rPr>
          <w:lang w:val="es-AR" w:eastAsia="es-AR" w:bidi="es-AR"/>
        </w:rPr>
        <w:t xml:space="preserve">5) Diferir la regulación de honorarios para su oportunidad respectiva (art. 31, ley 14.967).</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y mod. SCBA) remitiéndose copia digital de la presente sentencia a los domicilios electrónicos de las respectivas partes. Devuélvase.-</w:t>
      </w:r>
    </w:p>
    <w:p>
      <w:pPr>
        <w:pStyle w:val="[Normal]"/>
        <w:spacing w:line="480" w:lineRule="auto"/>
        <w:ind w:firstLine="1134"/>
        <w:jc w:val="both"/>
        <w:rPr>
          <w:color w:val="000000"/>
          <w:lang w:val="es-AR" w:eastAsia="es-AR" w:bidi="es-AR"/>
        </w:rPr>
      </w:pPr>
    </w:p>
    <w:p>
      <w:pPr>
        <w:pStyle w:val="[Normal]"/>
        <w:spacing w:line="480" w:lineRule="auto"/>
        <w:ind w:firstLine="1134"/>
        <w:jc w:val="both"/>
        <w:rPr>
          <w:color w:val="000000"/>
          <w:lang w:val="es-AR" w:eastAsia="es-AR" w:bidi="es-AR"/>
        </w:rPr>
      </w:pPr>
      <w:r>
        <w:rPr>
          <w:color w:val="000000"/>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Domicilio Electrónico: 20124349258@NOTIFICACIONES.SCBA.GOV.AR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Domicilio Electrónico: 20238638012@NOTIFICACIONES.SCBA.GOV.AR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Domicilio Electrónico: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03/09/2026 11:54:48 -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03/09/2026 12:01:41 -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03/09/2026 13:29:46 - MOREA Adrian Oscar - SECRETARIO DE CÁMARA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‰7Y")è&amp;À&amp;I_Š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235702090006950641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03/09/2026 13:30:04 hs. bajo el número RS-137-2026 por MOREA ADRIAN OSCAR.</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