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b/>
          <w:color w:val="000000"/>
          <w:lang w:val="es-AR" w:eastAsia="es-AR" w:bidi="es-AR"/>
        </w:rPr>
        <w:t xml:space="preserve">5454-24</w:t>
      </w:r>
      <w:r>
        <w:rPr>
          <w:lang w:val="es-AR" w:eastAsia="es-AR" w:bidi="es-AR"/>
        </w:rPr>
        <w:t xml:space="preserve"> caratulada </w:t>
      </w:r>
      <w:r>
        <w:rPr>
          <w:b/>
          <w:lang w:val="es-AR" w:eastAsia="es-AR" w:bidi="es-AR"/>
        </w:rPr>
        <w:t xml:space="preserve">"</w:t>
      </w:r>
      <w:r>
        <w:rPr>
          <w:b/>
          <w:color w:val="000000"/>
          <w:lang w:val="es-AR" w:eastAsia="es-AR" w:bidi="es-AR"/>
        </w:rPr>
        <w:t xml:space="preserve">FERREYRA RAFAEL HORACIO  C/ BANCO CREDICOOP COOPERATIVO LTDA S/ DAÑOS Y PERJ. INCUMP. CONTRACTUAL (EXC. ESTADO)</w:t>
      </w:r>
      <w:r>
        <w:rPr>
          <w:b/>
          <w:lang w:val="es-AR" w:eastAsia="es-AR" w:bidi="es-AR"/>
        </w:rPr>
        <w:t xml:space="preserve">"</w:t>
      </w:r>
      <w:r>
        <w:rPr>
          <w:lang w:val="es-AR" w:eastAsia="es-AR" w:bidi="es-AR"/>
        </w:rPr>
        <w:t xml:space="preserve">, Expte. N° 66.431</w:t>
      </w:r>
      <w:r>
        <w:rPr>
          <w:color w:val="000000"/>
          <w:lang w:val="es-AR" w:eastAsia="es-AR" w:bidi="es-AR"/>
        </w:rPr>
        <w:t xml:space="preserve"> </w:t>
      </w:r>
      <w:r>
        <w:rPr>
          <w:lang w:val="es-AR" w:eastAsia="es-AR" w:bidi="es-AR"/>
        </w:rPr>
        <w:t xml:space="preserve">del Juzgado Civil y Comercial N° 3</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resolución en lo apelado?</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w:t>
      </w:r>
    </w:p>
    <w:p>
      <w:pPr>
        <w:pStyle w:val="[Normal]"/>
        <w:spacing w:line="360" w:lineRule="auto"/>
        <w:ind w:firstLine="1134"/>
        <w:jc w:val="both"/>
        <w:rPr>
          <w:lang w:val="es-AR" w:eastAsia="es-AR" w:bidi="es-AR"/>
        </w:rPr>
      </w:pPr>
      <w:r>
        <w:rPr>
          <w:lang w:val="es-AR" w:eastAsia="es-AR" w:bidi="es-AR"/>
        </w:rPr>
        <w:t xml:space="preserve">El Sr. Juez de primera instancia mediante el decisorio apelado aprobó la liquidación practicada por la suma de $19.715.947,92 y estableció que el límite previsto por el art. 730 del CCyC ascendía a $4.928.986,98, equivalente al 25% de aquella suma.</w:t>
      </w:r>
    </w:p>
    <w:p>
      <w:pPr>
        <w:pStyle w:val="[Normal]"/>
        <w:spacing w:line="360" w:lineRule="auto"/>
        <w:ind w:firstLine="1134"/>
        <w:jc w:val="both"/>
        <w:rPr>
          <w:lang w:val="es-AR" w:eastAsia="es-AR" w:bidi="es-AR"/>
        </w:rPr>
      </w:pPr>
      <w:r>
        <w:rPr>
          <w:lang w:val="es-AR" w:eastAsia="es-AR" w:bidi="es-AR"/>
        </w:rPr>
        <w:t xml:space="preserve">A partir de ello, determinó los conceptos integrantes de las costas y efectuó el correspondiente prorrateo entre los distintos beneficiarios.</w:t>
      </w:r>
    </w:p>
    <w:p>
      <w:pPr>
        <w:pStyle w:val="[Normal]"/>
        <w:spacing w:line="360" w:lineRule="auto"/>
        <w:ind w:firstLine="1134"/>
        <w:jc w:val="both"/>
        <w:rPr>
          <w:lang w:val="es-AR" w:eastAsia="es-AR" w:bidi="es-AR"/>
        </w:rPr>
      </w:pPr>
      <w:r>
        <w:rPr>
          <w:lang w:val="es-AR" w:eastAsia="es-AR" w:bidi="es-AR"/>
        </w:rPr>
        <w:t xml:space="preserve">Contra dicho pronunciamiento se alzó el letrado de la parte actora, cuestionando los cálculos efectuados, los importes considerados respecto de determinados honorarios, la falta de expresión de los estipendios de los abogados en jus arancelarios, la inclusión de la tasa y contribución sobre la tasa de justicia y el cómputo de los honorarios y aportes correspondientes a los profesionales que intervinieron por el Banco de la Provincia de Buenos Aires, citado como tercero.</w:t>
      </w:r>
    </w:p>
    <w:p>
      <w:pPr>
        <w:pStyle w:val="[Normal]"/>
        <w:spacing w:line="360" w:lineRule="auto"/>
        <w:ind w:firstLine="1134"/>
        <w:jc w:val="both"/>
        <w:rPr>
          <w:lang w:val="es-AR" w:eastAsia="es-AR" w:bidi="es-AR"/>
        </w:rPr>
      </w:pPr>
      <w:r>
        <w:rPr>
          <w:lang w:val="es-AR" w:eastAsia="es-AR" w:bidi="es-AR"/>
        </w:rPr>
        <w:t xml:space="preserve">Por su parte, Banco Credicoop Cooperativo Limitado cuestionó la exclusión de los honorarios de la mediadora del prorrateo previsto por el art. 730 del CCyC. </w:t>
      </w:r>
    </w:p>
    <w:p>
      <w:pPr>
        <w:pStyle w:val="[Normal]"/>
        <w:spacing w:line="360" w:lineRule="auto"/>
        <w:ind w:firstLine="1134"/>
        <w:jc w:val="both"/>
        <w:rPr>
          <w:lang w:val="es-AR" w:eastAsia="es-AR" w:bidi="es-AR"/>
        </w:rPr>
      </w:pPr>
      <w:r>
        <w:rPr>
          <w:lang w:val="es-AR" w:eastAsia="es-AR" w:bidi="es-AR"/>
        </w:rPr>
        <w:t xml:space="preserve">Entrando a resolver, cabe señalar que el límite establecido por el art. 730 del CCyC </w:t>
      </w:r>
      <w:r>
        <w:rPr>
          <w:i/>
          <w:lang w:val="es-AR" w:eastAsia="es-AR" w:bidi="es-AR"/>
        </w:rPr>
        <w:t xml:space="preserve">"...no modifica la imposición de costas sino que establece un tope a la extensión de la responsabilidad del vencido a quien se obliga a pagar hasta un veinticinco por ciento calculado sobre el monto de sentencia"</w:t>
      </w:r>
      <w:r>
        <w:rPr>
          <w:lang w:val="es-AR" w:eastAsia="es-AR" w:bidi="es-AR"/>
        </w:rPr>
        <w:t xml:space="preserve"> (conf. CC0100 SN 12808 S 23/05/2017 JUBA B857631)</w:t>
      </w:r>
    </w:p>
    <w:p>
      <w:pPr>
        <w:pStyle w:val="[Normal]"/>
        <w:spacing w:line="360" w:lineRule="auto"/>
        <w:ind w:firstLine="1134"/>
        <w:jc w:val="both"/>
        <w:rPr>
          <w:lang w:val="es-AR" w:eastAsia="es-AR" w:bidi="es-AR"/>
        </w:rPr>
      </w:pPr>
      <w:r>
        <w:rPr>
          <w:lang w:val="es-AR" w:eastAsia="es-AR" w:bidi="es-AR"/>
        </w:rPr>
        <w:t xml:space="preserve">De allí que, cuando los honorarios superan el 25% del monto de la sentencia, corresponde establecer la proporción en que cada uno de ellos podrá ser afrontado por el obligado, sin que ello implique alterar las regulaciones efectuadas a los profesionales.</w:t>
      </w:r>
    </w:p>
    <w:p>
      <w:pPr>
        <w:pStyle w:val="[Normal]"/>
        <w:spacing w:line="360" w:lineRule="auto"/>
        <w:ind w:firstLine="1134"/>
        <w:jc w:val="both"/>
        <w:rPr>
          <w:lang w:val="es-AR" w:eastAsia="es-AR" w:bidi="es-AR"/>
        </w:rPr>
      </w:pPr>
      <w:r>
        <w:rPr>
          <w:lang w:val="es-AR" w:eastAsia="es-AR" w:bidi="es-AR"/>
        </w:rPr>
        <w:t xml:space="preserve">En el caso no se encuentra controvertido que el monto de la liquidación aprobada asciende a $19.715.947,92, por lo que el límite del 25% se sitúa en $4.928.986,98.</w:t>
      </w:r>
    </w:p>
    <w:p>
      <w:pPr>
        <w:pStyle w:val="[Normal]"/>
        <w:spacing w:line="360" w:lineRule="auto"/>
        <w:ind w:firstLine="1134"/>
        <w:jc w:val="both"/>
        <w:rPr>
          <w:lang w:val="es-AR" w:eastAsia="es-AR" w:bidi="es-AR"/>
        </w:rPr>
      </w:pPr>
      <w:r>
        <w:rPr>
          <w:lang w:val="es-AR" w:eastAsia="es-AR" w:bidi="es-AR"/>
        </w:rPr>
        <w:t xml:space="preserve">Sin embargo, advierto que la operación efectuada en la instancia de origen contiene errores tanto en la sumatoria de los conceptos considerados como en algunos de los importes consignados.</w:t>
      </w:r>
    </w:p>
    <w:p>
      <w:pPr>
        <w:pStyle w:val="[Normal]"/>
        <w:spacing w:line="360" w:lineRule="auto"/>
        <w:ind w:firstLine="1134"/>
        <w:jc w:val="both"/>
        <w:rPr>
          <w:lang w:val="es-AR" w:eastAsia="es-AR" w:bidi="es-AR"/>
        </w:rPr>
      </w:pPr>
      <w:r>
        <w:rPr>
          <w:lang w:val="es-AR" w:eastAsia="es-AR" w:bidi="es-AR"/>
        </w:rPr>
        <w:t xml:space="preserve">En efecto, la resolución apelada afirma que el total de las costas asciende a $ 5.421.795,05, cuando la suma de los rubros que allí mismo se detallan alcanza, aun con los importes erróneos consignados respecto de los peritos, la suma de $ 6.104.795,05.</w:t>
      </w:r>
    </w:p>
    <w:p>
      <w:pPr>
        <w:pStyle w:val="[Normal]"/>
        <w:spacing w:line="360" w:lineRule="auto"/>
        <w:ind w:firstLine="1134"/>
        <w:jc w:val="both"/>
        <w:rPr>
          <w:lang w:val="es-AR" w:eastAsia="es-AR" w:bidi="es-AR"/>
        </w:rPr>
      </w:pPr>
      <w:r>
        <w:rPr>
          <w:lang w:val="es-AR" w:eastAsia="es-AR" w:bidi="es-AR"/>
        </w:rPr>
        <w:t xml:space="preserve">A ello debe agregarse que, conforme la regulación de fecha 20-3-2026, que fuera confirmada por esta Alzada el 30-4-2026, los honorarios del perito Ricardo Canal ascienden a $220.000, con aportes por $11.000, y los de la perito María Valeria Belcaguy a $230.000, en lugar de los $200.000, $10.000 y $220.000, respectivamente, computados en la resolución apelada. Debo aclarar que en el pronunciamiento de esta Alzada de fecha 30-4-2026 se consignó por error material la suma de $200.000 respecto de los honorarios del perito Ricardo Canal, cuando la regulación de primera instancia había fijado dicho estipendio en $220.000. La presente consideración la efectúo exclusivamente a los fines de determinar la base sobre la cual corresponde practicar el prorrateo, tomando el importe efectivamente regulado en primera instancia, sin alterar los términos ni los alcances de aquel pronunciamiento.</w:t>
      </w:r>
    </w:p>
    <w:p>
      <w:pPr>
        <w:pStyle w:val="[Normal]"/>
        <w:spacing w:line="360" w:lineRule="auto"/>
        <w:ind w:firstLine="1134"/>
        <w:jc w:val="both"/>
        <w:rPr>
          <w:lang w:val="es-AR" w:eastAsia="es-AR" w:bidi="es-AR"/>
        </w:rPr>
      </w:pPr>
      <w:r>
        <w:rPr>
          <w:lang w:val="es-AR" w:eastAsia="es-AR" w:bidi="es-AR"/>
        </w:rPr>
        <w:t xml:space="preserve">En cuanto al agravio relativo a la forma en que fueron expresados los honorarios de los profesionales abogados, cabe señalar que las regulaciones efectuadas en favor de los Dres. Aranda, Ulla y Yarroch se encuentran establecidas en jus arancelarios, conforme las previsiones de los arts. 15 inc. d) y 24 de la ley 14.967. La aplicación del art. 730 del CCyC no importa modificar la unidad arancelaria en la que fueron practicadas aquellas regulaciones sino determinar hasta qué importe resulta responsable el condenado en costas.</w:t>
      </w:r>
    </w:p>
    <w:p>
      <w:pPr>
        <w:pStyle w:val="[Normal]"/>
        <w:spacing w:line="360" w:lineRule="auto"/>
        <w:ind w:firstLine="1134"/>
        <w:jc w:val="both"/>
        <w:rPr>
          <w:lang w:val="es-AR" w:eastAsia="es-AR" w:bidi="es-AR"/>
        </w:rPr>
      </w:pPr>
      <w:r>
        <w:rPr>
          <w:lang w:val="es-AR" w:eastAsia="es-AR" w:bidi="es-AR"/>
        </w:rPr>
        <w:t xml:space="preserve">En consecuencia, el prorrateo deberá respetar la expresión de los estipendios en jus, aplicando sobre las cantidades reguladas la reducción proporcional que corresponda. De tal modo, los honorarios que resulten del prorrateo deberán continuar expresándose en la misma unidad arancelaria en que fueron regulados, con independencia del valor monetario del jus vigente al momento de su efectivo pago.</w:t>
      </w:r>
    </w:p>
    <w:p>
      <w:pPr>
        <w:pStyle w:val="[Normal]"/>
        <w:spacing w:line="360" w:lineRule="auto"/>
        <w:ind w:firstLine="1134"/>
        <w:jc w:val="both"/>
        <w:rPr>
          <w:lang w:val="es-AR" w:eastAsia="es-AR" w:bidi="es-AR"/>
        </w:rPr>
      </w:pPr>
      <w:r>
        <w:rPr>
          <w:lang w:val="es-AR" w:eastAsia="es-AR" w:bidi="es-AR"/>
        </w:rPr>
        <w:t xml:space="preserve">Abordando ahora el agravio dirigido a excluir del prorrateo la tasa de justicia y la contribución sobre la misma, adelanto que no puede prosperar. </w:t>
      </w:r>
    </w:p>
    <w:p>
      <w:pPr>
        <w:pStyle w:val="[Normal]"/>
        <w:spacing w:line="360" w:lineRule="auto"/>
        <w:ind w:firstLine="1134"/>
        <w:jc w:val="both"/>
        <w:rPr>
          <w:lang w:val="es-AR" w:eastAsia="es-AR" w:bidi="es-AR"/>
        </w:rPr>
      </w:pPr>
      <w:r>
        <w:rPr>
          <w:lang w:val="es-AR" w:eastAsia="es-AR" w:bidi="es-AR"/>
        </w:rPr>
        <w:t xml:space="preserve">Es que la circunstancia de que tales conceptos no hubieran sido específicamente individualizados en la presentación mediante la cual se solicitó el prorrateo no impide su consideración, desde que la operación prevista por el art. 730 del CCyC debe comprender las costas de primera instancia alcanzadas por la norma y no solamente aquellos rubros que el interesado hubiera seleccionado al practicar unilateralmente su cuenta.</w:t>
      </w:r>
    </w:p>
    <w:p>
      <w:pPr>
        <w:pStyle w:val="[Normal]"/>
        <w:spacing w:line="360" w:lineRule="auto"/>
        <w:ind w:firstLine="1134"/>
        <w:jc w:val="both"/>
        <w:rPr>
          <w:lang w:val="es-AR" w:eastAsia="es-AR" w:bidi="es-AR"/>
        </w:rPr>
      </w:pPr>
      <w:r>
        <w:rPr>
          <w:lang w:val="es-AR" w:eastAsia="es-AR" w:bidi="es-AR"/>
        </w:rPr>
        <w:t xml:space="preserve">La Suprema Corte de Justicia de la Provincia de Buenos Aires ha señalado que la condena en costas comprende los gastos ocasionados por la sustanciación del proceso, incluyendo los honorarios de abogados, con la excepción prevista por la propia norma respecto de los profesionales de la parte condenada, los de peritos y auxiliares y sus respectivos aportes, así como la tasa y la contribución correspondiente. Así lo sostuvo, entre otros precedentes, en la causa C. 112.988, “Candia, Luis Alberto y otra c/ Hospital Zonal de Agudos Gral. Manuel Belgrano y otros s/ Daños y perjuicios”, sent. del 17/04/2013; C. 97.539, “Poggi c/ Burgois s/ Ds. y Ps.”, sent. del 13/5/09).</w:t>
      </w:r>
    </w:p>
    <w:p>
      <w:pPr>
        <w:pStyle w:val="[Normal]"/>
        <w:spacing w:line="360" w:lineRule="auto"/>
        <w:ind w:firstLine="1134"/>
        <w:jc w:val="both"/>
        <w:rPr>
          <w:lang w:val="es-AR" w:eastAsia="es-AR" w:bidi="es-AR"/>
        </w:rPr>
      </w:pPr>
      <w:r>
        <w:rPr>
          <w:lang w:val="es-AR" w:eastAsia="es-AR" w:bidi="es-AR"/>
        </w:rPr>
        <w:t xml:space="preserve">De ahí que corresponde mantener dentro de la masa sujeta a prorrateo tanto la tasa de justicia de $ 433.751 como la contribución de $21.687,55.</w:t>
      </w:r>
    </w:p>
    <w:p>
      <w:pPr>
        <w:pStyle w:val="[Normal]"/>
        <w:spacing w:line="360" w:lineRule="auto"/>
        <w:ind w:firstLine="1134"/>
        <w:jc w:val="both"/>
        <w:rPr>
          <w:lang w:val="es-AR" w:eastAsia="es-AR" w:bidi="es-AR"/>
        </w:rPr>
      </w:pPr>
      <w:r>
        <w:rPr>
          <w:lang w:val="es-AR" w:eastAsia="es-AR" w:bidi="es-AR"/>
        </w:rPr>
        <w:t xml:space="preserve">No modifica dicha conclusión la circunstancia alegada por el Dr. Aranda relativa al pago efectuado con anterioridad, pues tal circunstancia podrá incidir en su caso en la imputación de las sumas ya abonadas, pero no altera la composición de las costas que deben ser consideradas para establecer la incidencia del límite legal.</w:t>
      </w:r>
    </w:p>
    <w:p>
      <w:pPr>
        <w:pStyle w:val="[Normal]"/>
        <w:spacing w:line="360" w:lineRule="auto"/>
        <w:ind w:firstLine="1134"/>
        <w:jc w:val="both"/>
        <w:rPr>
          <w:lang w:val="es-AR" w:eastAsia="es-AR" w:bidi="es-AR"/>
        </w:rPr>
      </w:pPr>
      <w:r>
        <w:rPr>
          <w:lang w:val="es-AR" w:eastAsia="es-AR" w:bidi="es-AR"/>
        </w:rPr>
        <w:t xml:space="preserve">Asimismo tampoco prospera el cuestionamiento relativo a que se hayan incorporado al prorrateo los honorarios y aportes correspondientes a la representación letrada del Banco de la Provincia de Buenos Aires, tercero citado en autos a instancia del Banco Credicoop.</w:t>
      </w:r>
    </w:p>
    <w:p>
      <w:pPr>
        <w:pStyle w:val="[Normal]"/>
        <w:spacing w:line="360" w:lineRule="auto"/>
        <w:ind w:firstLine="1134"/>
        <w:jc w:val="both"/>
        <w:rPr>
          <w:lang w:val="es-AR" w:eastAsia="es-AR" w:bidi="es-AR"/>
        </w:rPr>
      </w:pPr>
      <w:r>
        <w:rPr>
          <w:lang w:val="es-AR" w:eastAsia="es-AR" w:bidi="es-AR"/>
        </w:rPr>
        <w:t xml:space="preserve">El art. 730 del CCyC no circunscribe el concepto de honorarios computables a aquellos correspondientes exclusivamente a los letrados de la parte actora, sino que alude a los honorarios profesionales de todo tipo devengados en la primera o única instancia, con la única exclusión expresa de los correspondientes a los profesionales que hubieran representado, patrocinado o asistido a la parte condenada en costas.</w:t>
      </w:r>
    </w:p>
    <w:p>
      <w:pPr>
        <w:pStyle w:val="[Normal]"/>
        <w:spacing w:line="360" w:lineRule="auto"/>
        <w:ind w:firstLine="1134"/>
        <w:jc w:val="both"/>
        <w:rPr>
          <w:lang w:val="es-AR" w:eastAsia="es-AR" w:bidi="es-AR"/>
        </w:rPr>
      </w:pPr>
      <w:r>
        <w:rPr>
          <w:lang w:val="es-AR" w:eastAsia="es-AR" w:bidi="es-AR"/>
        </w:rPr>
        <w:t xml:space="preserve">En el caso, los honorarios correspondientes a la representación letrada del Banco de la Provincia de Buenos Aires fueron regulados con motivo de la actuación profesional cumplida en la instancia de origen y las costas derivadas de dicha intervención fueron expresamente impuestas a la parte demandada. En consecuencia, tales estipendios integran la masa de conceptos sobre los cuales corresponde efectuar el prorrateo previsto por el art. 730 del CCyC y se encuentran comprendidos en los rubros considerados en la operación que antecede.</w:t>
      </w:r>
    </w:p>
    <w:p>
      <w:pPr>
        <w:pStyle w:val="[Normal]"/>
        <w:spacing w:line="360" w:lineRule="auto"/>
        <w:ind w:firstLine="1134"/>
        <w:jc w:val="both"/>
        <w:rPr>
          <w:lang w:val="es-AR" w:eastAsia="es-AR" w:bidi="es-AR"/>
        </w:rPr>
      </w:pPr>
      <w:r>
        <w:rPr>
          <w:lang w:val="es-AR" w:eastAsia="es-AR" w:bidi="es-AR"/>
        </w:rPr>
        <w:t xml:space="preserve">No obsta a ello que la responsabilidad sustancial del Banco de la Provincia de Buenos Aires haya sido finalmente descartada. La exclusión de responsabilidad del tercero no torna ajenos a las costas del proceso los honorarios devengados por su intervención, desde que conforme la concreta distribución de costas efectuada en la sentencia de 29-8-2024, su pago quedó a cargo de la parte demandada.</w:t>
      </w:r>
    </w:p>
    <w:p>
      <w:pPr>
        <w:pStyle w:val="[Normal]"/>
        <w:spacing w:line="360" w:lineRule="auto"/>
        <w:ind w:firstLine="1134"/>
        <w:jc w:val="both"/>
        <w:rPr>
          <w:lang w:val="es-AR" w:eastAsia="es-AR" w:bidi="es-AR"/>
        </w:rPr>
      </w:pPr>
      <w:r>
        <w:rPr>
          <w:lang w:val="es-AR" w:eastAsia="es-AR" w:bidi="es-AR"/>
        </w:rPr>
        <w:t xml:space="preserve">Finalmente, abordaré el recurso de Banco Credicoop Cooperativo Limitado respecto de la exclusión de los honorarios del mediador prejudicial del prorrateo previsto por el art. 730 del CCyC.</w:t>
      </w:r>
    </w:p>
    <w:p>
      <w:pPr>
        <w:pStyle w:val="[Normal]"/>
        <w:spacing w:line="360" w:lineRule="auto"/>
        <w:ind w:firstLine="1134"/>
        <w:jc w:val="both"/>
        <w:rPr>
          <w:lang w:val="es-AR" w:eastAsia="es-AR" w:bidi="es-AR"/>
        </w:rPr>
      </w:pPr>
      <w:r>
        <w:rPr>
          <w:lang w:val="es-AR" w:eastAsia="es-AR" w:bidi="es-AR"/>
        </w:rPr>
        <w:t xml:space="preserve">Sobre el particular, esta Cámara ha tenido oportunidad de señalar que los honorarios correspondientes a la intervención del mediador prejudicial se encuentran excluidos del límite previsto por el art. 730 del CCyC, en tanto la disposición circunscribe el tope de responsabilidad por costas a los honorarios profesionales devengados en la primera o única instancia, mientras que la mediación prejudicial obligatoria constituye una instancia previa al proceso judicial y, por ende, ajena a la primera o única instancia a que refiere el precepto.</w:t>
      </w:r>
    </w:p>
    <w:p>
      <w:pPr>
        <w:pStyle w:val="[Normal]"/>
        <w:spacing w:line="360" w:lineRule="auto"/>
        <w:ind w:firstLine="1134"/>
        <w:jc w:val="both"/>
        <w:rPr>
          <w:lang w:val="es-AR" w:eastAsia="es-AR" w:bidi="es-AR"/>
        </w:rPr>
      </w:pPr>
      <w:r>
        <w:rPr>
          <w:lang w:val="es-AR" w:eastAsia="es-AR" w:bidi="es-AR"/>
        </w:rPr>
        <w:t xml:space="preserve">Así fue resuelto por este Tribunal en la causa N° 4385, RSI 56/2022 del 12-4-2022, N° 6130 RSD 129/2026 del 13-8-2026, criterio que corresponde mantener en el presente.</w:t>
      </w:r>
    </w:p>
    <w:p>
      <w:pPr>
        <w:pStyle w:val="[Normal]"/>
        <w:spacing w:line="360" w:lineRule="auto"/>
        <w:ind w:firstLine="1134"/>
        <w:jc w:val="both"/>
        <w:rPr>
          <w:lang w:val="es-AR" w:eastAsia="es-AR" w:bidi="es-AR"/>
        </w:rPr>
      </w:pPr>
      <w:r>
        <w:rPr>
          <w:lang w:val="es-AR" w:eastAsia="es-AR" w:bidi="es-AR"/>
        </w:rPr>
        <w:t xml:space="preserve">Concluyendo mi voto, y a efectos de establecer la base sobre la cual deberá practicarse el nuevo prorrateo, corresponde considerar entonces los siguientes conceptos:</w:t>
      </w:r>
    </w:p>
    <w:p>
      <w:pPr>
        <w:pStyle w:val="[Normal]"/>
        <w:spacing w:line="360" w:lineRule="auto"/>
        <w:ind w:firstLine="1134"/>
        <w:jc w:val="both"/>
        <w:rPr>
          <w:lang w:val="es-AR" w:eastAsia="es-AR" w:bidi="es-AR"/>
        </w:rPr>
      </w:pPr>
      <w:r>
        <w:rPr>
          <w:lang w:val="es-AR" w:eastAsia="es-AR" w:bidi="es-AR"/>
        </w:rPr>
        <w:t xml:space="preserve">Dr. Oscar Aranda: 80 jus, equivalentes al momento de la regulación a $3.706.000.</w:t>
      </w:r>
    </w:p>
    <w:p>
      <w:pPr>
        <w:pStyle w:val="[Normal]"/>
        <w:spacing w:line="360" w:lineRule="auto"/>
        <w:ind w:firstLine="1134"/>
        <w:jc w:val="both"/>
        <w:rPr>
          <w:lang w:val="es-AR" w:eastAsia="es-AR" w:bidi="es-AR"/>
        </w:rPr>
      </w:pPr>
      <w:r>
        <w:rPr>
          <w:lang w:val="es-AR" w:eastAsia="es-AR" w:bidi="es-AR"/>
        </w:rPr>
        <w:t xml:space="preserve">Aportes previsionales: $370.600.</w:t>
      </w:r>
    </w:p>
    <w:p>
      <w:pPr>
        <w:pStyle w:val="[Normal]"/>
        <w:spacing w:line="360" w:lineRule="auto"/>
        <w:ind w:firstLine="1134"/>
        <w:jc w:val="both"/>
        <w:rPr>
          <w:lang w:val="es-AR" w:eastAsia="es-AR" w:bidi="es-AR"/>
        </w:rPr>
      </w:pPr>
      <w:r>
        <w:rPr>
          <w:lang w:val="es-AR" w:eastAsia="es-AR" w:bidi="es-AR"/>
        </w:rPr>
        <w:t xml:space="preserve">Dra. Mariana Ulla: 7,40 jus, equivalentes a $342.805.</w:t>
      </w:r>
    </w:p>
    <w:p>
      <w:pPr>
        <w:pStyle w:val="[Normal]"/>
        <w:spacing w:line="360" w:lineRule="auto"/>
        <w:ind w:firstLine="1134"/>
        <w:jc w:val="both"/>
        <w:rPr>
          <w:lang w:val="es-AR" w:eastAsia="es-AR" w:bidi="es-AR"/>
        </w:rPr>
      </w:pPr>
      <w:r>
        <w:rPr>
          <w:lang w:val="es-AR" w:eastAsia="es-AR" w:bidi="es-AR"/>
        </w:rPr>
        <w:t xml:space="preserve">Aportes previsionales: $34.280,50.</w:t>
      </w:r>
    </w:p>
    <w:p>
      <w:pPr>
        <w:pStyle w:val="[Normal]"/>
        <w:spacing w:line="360" w:lineRule="auto"/>
        <w:ind w:firstLine="1134"/>
        <w:jc w:val="both"/>
        <w:rPr>
          <w:lang w:val="es-AR" w:eastAsia="es-AR" w:bidi="es-AR"/>
        </w:rPr>
      </w:pPr>
      <w:r>
        <w:rPr>
          <w:lang w:val="es-AR" w:eastAsia="es-AR" w:bidi="es-AR"/>
        </w:rPr>
        <w:t xml:space="preserve">Dr. Fernando Yarroch: 14,80 jus, equivalentes a $685.610.</w:t>
      </w:r>
    </w:p>
    <w:p>
      <w:pPr>
        <w:pStyle w:val="[Normal]"/>
        <w:spacing w:line="360" w:lineRule="auto"/>
        <w:ind w:firstLine="1134"/>
        <w:jc w:val="both"/>
        <w:rPr>
          <w:lang w:val="es-AR" w:eastAsia="es-AR" w:bidi="es-AR"/>
        </w:rPr>
      </w:pPr>
      <w:r>
        <w:rPr>
          <w:lang w:val="es-AR" w:eastAsia="es-AR" w:bidi="es-AR"/>
        </w:rPr>
        <w:t xml:space="preserve">Aportes previsionales: $68.561.</w:t>
      </w:r>
    </w:p>
    <w:p>
      <w:pPr>
        <w:pStyle w:val="[Normal]"/>
        <w:spacing w:line="360" w:lineRule="auto"/>
        <w:ind w:firstLine="1134"/>
        <w:jc w:val="both"/>
        <w:rPr>
          <w:lang w:val="es-AR" w:eastAsia="es-AR" w:bidi="es-AR"/>
        </w:rPr>
      </w:pPr>
      <w:r>
        <w:rPr>
          <w:lang w:val="es-AR" w:eastAsia="es-AR" w:bidi="es-AR"/>
        </w:rPr>
        <w:t xml:space="preserve">Perito Ricardo Canal: $220.000.</w:t>
      </w:r>
    </w:p>
    <w:p>
      <w:pPr>
        <w:pStyle w:val="[Normal]"/>
        <w:spacing w:line="360" w:lineRule="auto"/>
        <w:ind w:firstLine="1134"/>
        <w:jc w:val="both"/>
        <w:rPr>
          <w:lang w:val="es-AR" w:eastAsia="es-AR" w:bidi="es-AR"/>
        </w:rPr>
      </w:pPr>
      <w:r>
        <w:rPr>
          <w:lang w:val="es-AR" w:eastAsia="es-AR" w:bidi="es-AR"/>
        </w:rPr>
        <w:t xml:space="preserve">Aportes: $11.000.</w:t>
      </w:r>
    </w:p>
    <w:p>
      <w:pPr>
        <w:pStyle w:val="[Normal]"/>
        <w:spacing w:line="360" w:lineRule="auto"/>
        <w:ind w:firstLine="1134"/>
        <w:jc w:val="both"/>
        <w:rPr>
          <w:lang w:val="es-AR" w:eastAsia="es-AR" w:bidi="es-AR"/>
        </w:rPr>
      </w:pPr>
      <w:r>
        <w:rPr>
          <w:lang w:val="es-AR" w:eastAsia="es-AR" w:bidi="es-AR"/>
        </w:rPr>
        <w:t xml:space="preserve">Perito María Valeria Belcaguy: $230.000.</w:t>
      </w:r>
    </w:p>
    <w:p>
      <w:pPr>
        <w:pStyle w:val="[Normal]"/>
        <w:spacing w:line="360" w:lineRule="auto"/>
        <w:ind w:firstLine="1134"/>
        <w:jc w:val="both"/>
        <w:rPr>
          <w:lang w:val="es-AR" w:eastAsia="es-AR" w:bidi="es-AR"/>
        </w:rPr>
      </w:pPr>
      <w:r>
        <w:rPr>
          <w:lang w:val="es-AR" w:eastAsia="es-AR" w:bidi="es-AR"/>
        </w:rPr>
        <w:t xml:space="preserve">Aportes: $11.500.</w:t>
      </w:r>
    </w:p>
    <w:p>
      <w:pPr>
        <w:pStyle w:val="[Normal]"/>
        <w:spacing w:line="360" w:lineRule="auto"/>
        <w:ind w:firstLine="1134"/>
        <w:jc w:val="both"/>
        <w:rPr>
          <w:lang w:val="es-AR" w:eastAsia="es-AR" w:bidi="es-AR"/>
        </w:rPr>
      </w:pPr>
      <w:r>
        <w:rPr>
          <w:lang w:val="es-AR" w:eastAsia="es-AR" w:bidi="es-AR"/>
        </w:rPr>
        <w:t xml:space="preserve">Tasa de justicia: $433.751.</w:t>
      </w:r>
    </w:p>
    <w:p>
      <w:pPr>
        <w:pStyle w:val="[Normal]"/>
        <w:spacing w:line="360" w:lineRule="auto"/>
        <w:ind w:firstLine="1134"/>
        <w:jc w:val="both"/>
        <w:rPr>
          <w:lang w:val="es-AR" w:eastAsia="es-AR" w:bidi="es-AR"/>
        </w:rPr>
      </w:pPr>
      <w:r>
        <w:rPr>
          <w:lang w:val="es-AR" w:eastAsia="es-AR" w:bidi="es-AR"/>
        </w:rPr>
        <w:t xml:space="preserve">Contribución sobre tasa de justicia: $21.687,55.</w:t>
      </w:r>
    </w:p>
    <w:p>
      <w:pPr>
        <w:pStyle w:val="[Normal]"/>
        <w:spacing w:line="360" w:lineRule="auto"/>
        <w:ind w:firstLine="1134"/>
        <w:jc w:val="both"/>
        <w:rPr>
          <w:lang w:val="es-AR" w:eastAsia="es-AR" w:bidi="es-AR"/>
        </w:rPr>
      </w:pPr>
      <w:r>
        <w:rPr>
          <w:lang w:val="es-AR" w:eastAsia="es-AR" w:bidi="es-AR"/>
        </w:rPr>
        <w:t xml:space="preserve">La suma de tales conceptos asciende a $6.135.795,05 y, por superar el límite de $4.928.986,98 establecido por el art. 730 del CCyC, corresponde que el Juzgado de origen practique un nuevo prorrateo proporcional sobre dicha base, de conformidad con las pautas establecidas en la presente.</w:t>
      </w:r>
    </w:p>
    <w:p>
      <w:pPr>
        <w:pStyle w:val="[Normal]"/>
        <w:spacing w:line="360" w:lineRule="auto"/>
        <w:ind w:firstLine="1134"/>
        <w:jc w:val="both"/>
        <w:rPr>
          <w:lang w:val="es-AR" w:eastAsia="es-AR" w:bidi="es-AR"/>
        </w:rPr>
      </w:pPr>
      <w:r>
        <w:rPr>
          <w:lang w:val="es-AR" w:eastAsia="es-AR" w:bidi="es-AR"/>
        </w:rPr>
        <w:t xml:space="preserve">De acuerdo con todo lo expuesto, propongo al Acuerdo hacer lugar parcialmente al recurso de apelación interpuesto por el Dr. Aranda contra la resolución de fecha 28-5-2026 y en su mérito dejar sin efecto el prorrateo allí efectuado, disponiendo que el Juzgado de origen practique uno nuevo conforme las pautas establecidas en la presente. Asimismo, corresponde rechazar el recurso de apelación interpuesto por Banco Credicoop Cooperativo Limitado en cuanto cuestiona la exclusión de los honorarios del mediador prejudicial del prorrateo previsto por el art. 730 del CCyC.</w:t>
      </w:r>
    </w:p>
    <w:p>
      <w:pPr>
        <w:pStyle w:val="[Normal]"/>
        <w:spacing w:line="360" w:lineRule="auto"/>
        <w:ind w:firstLine="1134"/>
        <w:jc w:val="both"/>
        <w:rPr>
          <w:lang w:val="es-AR" w:eastAsia="es-AR" w:bidi="es-AR"/>
        </w:rPr>
      </w:pPr>
      <w:r>
        <w:rPr>
          <w:lang w:val="es-AR" w:eastAsia="es-AR" w:bidi="es-AR"/>
        </w:rPr>
        <w:t xml:space="preserve">Las costas de Alzada se imponen en el orden causado, atento a la existencia de vencimientos parciales y a la naturaleza de las cuestiones debatidas (art. 68 y 69 CPCC). </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NEGATIVA.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Hacer lugar parcialmente al recurso de apelación interpuesto por el Dr. Aranda contra la resolución de fecha 28-5-2026 y, en consecuencia, dejar sin efecto el prorrateo allí efectuado, disponiendo que el Juzgado de origen practique uno nuevo conforme las pautas establecidas en la presente.</w:t>
      </w:r>
    </w:p>
    <w:p>
      <w:pPr>
        <w:pStyle w:val="[Normal]"/>
        <w:spacing w:line="360" w:lineRule="auto"/>
        <w:ind w:firstLine="1134"/>
        <w:jc w:val="both"/>
        <w:rPr>
          <w:lang w:val="es-AR" w:eastAsia="es-AR" w:bidi="es-AR"/>
        </w:rPr>
      </w:pPr>
      <w:r>
        <w:rPr>
          <w:lang w:val="es-AR" w:eastAsia="es-AR" w:bidi="es-AR"/>
        </w:rPr>
        <w:t xml:space="preserve">Rechazar el recurso de apelación interpuesto por Banco Credicoop Cooperativo Limitado en cuanto cuestiona la exclusión de los honorarios del mediador del prorrateo previsto por el art. 730 del CCyC. </w:t>
      </w:r>
    </w:p>
    <w:p>
      <w:pPr>
        <w:pStyle w:val="[Normal]"/>
        <w:spacing w:line="360" w:lineRule="auto"/>
        <w:ind w:firstLine="1134"/>
        <w:jc w:val="both"/>
        <w:rPr>
          <w:lang w:val="es-AR" w:eastAsia="es-AR" w:bidi="es-AR"/>
        </w:rPr>
      </w:pPr>
      <w:r>
        <w:rPr>
          <w:lang w:val="es-AR" w:eastAsia="es-AR" w:bidi="es-AR"/>
        </w:rPr>
        <w:t xml:space="preserve">Imponer las costas de Alzada en el orden causado (art. 68 y 69 CPCC). </w:t>
      </w:r>
    </w:p>
    <w:p>
      <w:pPr>
        <w:pStyle w:val="[Normal]"/>
        <w:spacing w:line="360" w:lineRule="auto"/>
        <w:ind w:firstLine="1134"/>
        <w:jc w:val="both"/>
        <w:rPr>
          <w:lang w:val="es-AR" w:eastAsia="es-AR" w:bidi="es-AR"/>
        </w:rPr>
      </w:pPr>
      <w:r>
        <w:rPr>
          <w:b/>
          <w:lang w:val="es-AR" w:eastAsia="es-AR" w:bidi="es-AR"/>
        </w:rPr>
        <w:t xml:space="preserve">ASÍ LO VOTO.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u w:val="single"/>
          <w:lang w:val="es-AR" w:eastAsia="es-AR" w:bidi="es-AR"/>
        </w:rPr>
        <w:t xml:space="preserve">S E N T E N C I A</w:t>
      </w:r>
      <w:r>
        <w:rPr>
          <w:u w:val="single"/>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Hacer lugar parcialmente al recurso de apelación interpuesto por el Dr. Aranda contra la resolución de fecha 28-5-2026 y, en consecuencia, dejar sin efecto el prorrateo allí efectuado, disponiendo que el Juzgado de origen practique uno nuevo conforme las pautas establecidas en la presente.</w:t>
      </w:r>
    </w:p>
    <w:p>
      <w:pPr>
        <w:pStyle w:val="[Normal]"/>
        <w:spacing w:line="360" w:lineRule="auto"/>
        <w:ind w:firstLine="1134"/>
        <w:jc w:val="both"/>
        <w:rPr>
          <w:lang w:val="es-AR" w:eastAsia="es-AR" w:bidi="es-AR"/>
        </w:rPr>
      </w:pPr>
      <w:r>
        <w:rPr>
          <w:lang w:val="es-AR" w:eastAsia="es-AR" w:bidi="es-AR"/>
        </w:rPr>
        <w:t xml:space="preserve">Rechazar el recurso de apelación interpuesto por Banco Credicoop Cooperativo Limitado en cuanto cuestiona la exclusión de los honorarios del mediador del prorrateo previsto por el art. 730 del CCyC. </w:t>
      </w:r>
    </w:p>
    <w:p>
      <w:pPr>
        <w:pStyle w:val="[Normal]"/>
        <w:spacing w:line="360" w:lineRule="auto"/>
        <w:ind w:firstLine="1134"/>
        <w:jc w:val="both"/>
        <w:rPr>
          <w:lang w:val="es-AR" w:eastAsia="es-AR" w:bidi="es-AR"/>
        </w:rPr>
      </w:pPr>
      <w:r>
        <w:rPr>
          <w:lang w:val="es-AR" w:eastAsia="es-AR" w:bidi="es-AR"/>
        </w:rPr>
        <w:t xml:space="preserve">Imponer las costas de Alzada en el orden causado (art. 68 y 69 CPCC). </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y mod.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11:21:19 -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11:22:53 -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13:19:21 - PELUSA Juan Cruz - AUXILIAR LETRADO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‰6r")è'!{R/Š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228202090007019150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17/09/2026 13:19:32 hs. bajo el número RS-155-2026 por PELUSA JUAN.</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