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bin" ContentType="application/vnd.openxmlformats-officedocument.oleObject"/>
  <Override PartName="/word/document.xml" ContentType="application/vnd.openxmlformats-officedocument.wordprocessingml.document.main+xml"/>
  <Override PartName="/word/styles.xml" ContentType="application/vnd.openxmlformats-officedocument.wordprocessingml.styles+xml"/>
  <Override PartName="/word/header0001.xml" ContentType="application/vnd.openxmlformats-officedocument.wordprocessingml.header+xml"/>
  <Override PartName="/word/footer0001.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wpc="http://schemas.microsoft.com/office/word/2010/wordprocessingCanvas" xmlns:wpg="http://schemas.microsoft.com/office/word/2010/wordprocessingGroup" xmlns:wps="http://schemas.microsoft.com/office/word/2010/wordprocessingShape" xmlns:mc="http://schemas.openxmlformats.org/markup-compatibility/2006" xmlns:w14="http://schemas.microsoft.com/office/word/2010/wordml" xmlns:w15="http://schemas.microsoft.com/office/word/2012/wordml" xmlns:tx19="http://schemas.textcontrol.com/tx/1900" xmlns:tx23="http://schemas.textcontrol.com/tx/2300" mc:Ignorable="w14 w15 tx19 tx23">
  <w:body>
    <w:p>
      <w:pPr>
        <w:pStyle w:val="[Normal]"/>
        <w:spacing w:line="360" w:lineRule="auto"/>
        <w:jc w:val="both"/>
        <w:rPr>
          <w:b/>
          <w:lang w:val="es-AR" w:eastAsia="es-AR" w:bidi="es-AR"/>
        </w:rPr>
      </w:pPr>
    </w:p>
    <w:p>
      <w:pPr>
        <w:pStyle w:val="[Normal]"/>
        <w:spacing w:line="360" w:lineRule="auto"/>
        <w:jc w:val="both"/>
        <w:rPr>
          <w:lang w:val="es-AR" w:eastAsia="es-AR" w:bidi="es-AR"/>
        </w:rPr>
      </w:pPr>
    </w:p>
    <w:p>
      <w:pPr>
        <w:pStyle w:val="[Normal]"/>
        <w:spacing w:line="360" w:lineRule="auto"/>
        <w:ind w:firstLine="1134"/>
        <w:jc w:val="both"/>
        <w:rPr>
          <w:lang w:val="es-AR" w:eastAsia="es-AR" w:bidi="es-AR"/>
        </w:rPr>
      </w:pPr>
      <w:r>
        <w:rPr>
          <w:lang w:val="es-AR" w:eastAsia="es-AR" w:bidi="es-AR"/>
        </w:rPr>
        <w:t xml:space="preserve">En la ciudad de Pergamino, reunidos en Acuerdo Ordinario los Sres. Jueces de la Excma. Cámara de Apelación en lo Civil y Comercial del Departamento Judicial Pergamino, para dictar sentencia en la causa N° </w:t>
      </w:r>
      <w:r>
        <w:rPr>
          <w:color w:val="000000"/>
          <w:lang w:val="es-AR" w:eastAsia="es-AR" w:bidi="es-AR"/>
        </w:rPr>
        <w:t xml:space="preserve">6100-26</w:t>
      </w:r>
      <w:r>
        <w:rPr>
          <w:lang w:val="es-AR" w:eastAsia="es-AR" w:bidi="es-AR"/>
        </w:rPr>
        <w:t xml:space="preserve"> caratulada </w:t>
      </w:r>
      <w:r>
        <w:rPr>
          <w:b/>
          <w:lang w:val="es-AR" w:eastAsia="es-AR" w:bidi="es-AR"/>
        </w:rPr>
        <w:t xml:space="preserve">"</w:t>
      </w:r>
      <w:r>
        <w:rPr>
          <w:b/>
          <w:color w:val="000000"/>
          <w:lang w:val="es-AR" w:eastAsia="es-AR" w:bidi="es-AR"/>
        </w:rPr>
        <w:t xml:space="preserve">D A C/ B M H S/ CUIDADO PERSONAL UNILATERAL DE HIJO</w:t>
      </w:r>
      <w:r>
        <w:rPr>
          <w:b/>
          <w:lang w:val="es-AR" w:eastAsia="es-AR" w:bidi="es-AR"/>
        </w:rPr>
        <w:t xml:space="preserve">"</w:t>
      </w:r>
      <w:r>
        <w:rPr>
          <w:lang w:val="es-AR" w:eastAsia="es-AR" w:bidi="es-AR"/>
        </w:rPr>
        <w:t xml:space="preserve">, Expte. N° 39223 del Juzgado de Familia N° 1</w:t>
      </w:r>
      <w:r>
        <w:rPr>
          <w:color w:val="0000FF"/>
          <w:lang w:val="es-AR" w:eastAsia="es-AR" w:bidi="es-AR"/>
        </w:rPr>
        <w:t xml:space="preserve">,</w:t>
      </w:r>
      <w:r>
        <w:rPr>
          <w:lang w:val="es-AR" w:eastAsia="es-AR" w:bidi="es-AR"/>
        </w:rPr>
        <w:t xml:space="preserve"> se practicó el sorteo de ley que determinó que la votación debía efectuarse en el siguiente orden: Roberto Degleue y Graciela Scaraffia, y estudiados los autos se resolvió plantear y votar las siguientes: </w:t>
      </w:r>
    </w:p>
    <w:p>
      <w:pPr>
        <w:pStyle w:val="[Normal]"/>
        <w:spacing w:line="360" w:lineRule="auto"/>
        <w:ind w:firstLine="1134"/>
        <w:jc w:val="both"/>
        <w:rPr>
          <w:lang w:val="es-AR" w:eastAsia="es-AR" w:bidi="es-AR"/>
        </w:rPr>
      </w:pPr>
      <w:r>
        <w:rPr>
          <w:b/>
          <w:lang w:val="es-AR" w:eastAsia="es-AR" w:bidi="es-AR"/>
        </w:rPr>
        <w:t xml:space="preserve">C U E S T I O N E S</w:t>
      </w:r>
      <w:r>
        <w:rPr>
          <w:lang w:val="es-AR" w:eastAsia="es-AR" w:bidi="es-AR"/>
        </w:rPr>
        <w:t xml:space="preserve">:</w:t>
      </w:r>
    </w:p>
    <w:p>
      <w:pPr>
        <w:pStyle w:val="[Normal]"/>
        <w:spacing w:line="360" w:lineRule="auto"/>
        <w:ind w:firstLine="1134"/>
        <w:jc w:val="both"/>
        <w:rPr>
          <w:lang w:val="es-AR" w:eastAsia="es-AR" w:bidi="es-AR"/>
        </w:rPr>
      </w:pPr>
      <w:r>
        <w:rPr>
          <w:lang w:val="es-AR" w:eastAsia="es-AR" w:bidi="es-AR"/>
        </w:rPr>
        <w:t xml:space="preserve">I) ¿Se ajusta a derecho la sentencia apelada?</w:t>
      </w:r>
    </w:p>
    <w:p>
      <w:pPr>
        <w:pStyle w:val="[Normal]"/>
        <w:spacing w:line="360" w:lineRule="auto"/>
        <w:ind w:firstLine="1134"/>
        <w:jc w:val="both"/>
        <w:rPr>
          <w:lang w:val="es-AR" w:eastAsia="es-AR" w:bidi="es-AR"/>
        </w:rPr>
      </w:pPr>
      <w:r>
        <w:rPr>
          <w:lang w:val="es-AR" w:eastAsia="es-AR" w:bidi="es-AR"/>
        </w:rPr>
        <w:t xml:space="preserve">II) ¿Qué pronunciamiento corresponde dictar?</w:t>
      </w:r>
    </w:p>
    <w:p>
      <w:pPr>
        <w:pStyle w:val="[Normal]"/>
        <w:spacing w:line="360" w:lineRule="auto"/>
        <w:ind w:firstLine="1134"/>
        <w:jc w:val="both"/>
        <w:rPr>
          <w:lang w:val="es-AR" w:eastAsia="es-AR" w:bidi="es-AR"/>
        </w:rPr>
      </w:pPr>
      <w:r>
        <w:rPr>
          <w:lang w:val="es-AR" w:eastAsia="es-AR" w:bidi="es-AR"/>
        </w:rPr>
        <w:t xml:space="preserve">A la primera cuestión el señor Juez Roberto Degleue dijo:</w:t>
      </w:r>
    </w:p>
    <w:p>
      <w:pPr>
        <w:pStyle w:val="[Normal]"/>
        <w:spacing w:line="360" w:lineRule="auto"/>
        <w:ind w:firstLine="1134"/>
        <w:jc w:val="both"/>
        <w:rPr>
          <w:lang w:val="es-AR" w:eastAsia="es-AR" w:bidi="es-AR"/>
        </w:rPr>
      </w:pPr>
      <w:r>
        <w:rPr>
          <w:lang w:val="es-AR" w:eastAsia="es-AR" w:bidi="es-AR"/>
        </w:rPr>
        <w:t xml:space="preserve">El señor Juez de la anterior sede hizo lugar parcialmente a la demanda entablada por la Sra. A D contra el Sr. M H B, y dispuso respecto de la niña B.,M. que el ejercicio de la responsabilidad parental sea compartido por ambos progenitores y la modalidad del cuidado personal sea unilateral a favor de la progenitora. Impuso las costas por su orden.  Reguló los honorarios de la letrada patrocinante de la parte actora y de la defensora oficial.</w:t>
      </w:r>
    </w:p>
    <w:p>
      <w:pPr>
        <w:pStyle w:val="[Normal]"/>
        <w:spacing w:line="360" w:lineRule="auto"/>
        <w:ind w:firstLine="1134"/>
        <w:jc w:val="both"/>
        <w:rPr>
          <w:lang w:val="es-AR" w:eastAsia="es-AR" w:bidi="es-AR"/>
        </w:rPr>
      </w:pPr>
      <w:r>
        <w:rPr>
          <w:lang w:val="es-AR" w:eastAsia="es-AR" w:bidi="es-AR"/>
        </w:rPr>
        <w:t xml:space="preserve">En disconformidad con lo resuelto apeló la parte actora el 8-5-2026, siendo concedida libremente el 14-5-2026, y no habiendo la parte demandada evacuado el traslado conferido en fecha  28/5/2026, se le dio por perdido el derecho dejado de usar, dictándose el llamamiento de autos para dictar sentencia, que estando firme a la fecha deja la causa en condiciones de ser resuelta.</w:t>
      </w:r>
    </w:p>
    <w:p>
      <w:pPr>
        <w:pStyle w:val="[Normal]"/>
        <w:spacing w:line="360" w:lineRule="auto"/>
        <w:ind w:firstLine="1134"/>
        <w:jc w:val="both"/>
        <w:rPr>
          <w:lang w:val="es-AR" w:eastAsia="es-AR" w:bidi="es-AR"/>
        </w:rPr>
      </w:pPr>
      <w:r>
        <w:rPr>
          <w:lang w:val="es-AR" w:eastAsia="es-AR" w:bidi="es-AR"/>
        </w:rPr>
        <w:t xml:space="preserve">La apelante limita su recurso al punto I de la sentencia, en cuanto rechazó la atribución del ejercicio unilateral de la responsabilidad parental y dispuso su ejercicio compartido, consintiendo el resto de lo decidido.</w:t>
      </w:r>
    </w:p>
    <w:p>
      <w:pPr>
        <w:pStyle w:val="[Normal]"/>
        <w:spacing w:line="360" w:lineRule="auto"/>
        <w:ind w:firstLine="1134"/>
        <w:jc w:val="both"/>
        <w:rPr>
          <w:lang w:val="es-AR" w:eastAsia="es-AR" w:bidi="es-AR"/>
        </w:rPr>
      </w:pPr>
      <w:r>
        <w:rPr>
          <w:lang w:val="es-AR" w:eastAsia="es-AR" w:bidi="es-AR"/>
        </w:rPr>
        <w:t xml:space="preserve">La recurrente cuestiona el error del encuadre jurídico dado por el a quo, sosteniendo que para resolver se consideraron los presupuestos de los arts. 700 y 702 del CCyCN (relativos a la privación o suspensión del ejercicio de la responsabilidad parental) y no los previstos por el art. 642 del mismo cuerpo legal, que habilita su atribución unilateral cuando los desacuerdos son reiterados o concurre cualquier otra circunstancia que entorpezca gravemente su ejercicio conjunto. Añade que el ejercicio conjunto resulta gravemente entorpecido y perjudicial para su hija, y con su pretensión no pretende la sanción contra el progenitor, sino que se determine la modalidad de ejercicio más adecuada al interés superior de la niña.</w:t>
      </w:r>
    </w:p>
    <w:p>
      <w:pPr>
        <w:pStyle w:val="[Normal]"/>
        <w:spacing w:line="360" w:lineRule="auto"/>
        <w:ind w:firstLine="1134"/>
        <w:jc w:val="both"/>
        <w:rPr>
          <w:lang w:val="es-AR" w:eastAsia="es-AR" w:bidi="es-AR"/>
        </w:rPr>
      </w:pPr>
      <w:r>
        <w:rPr>
          <w:lang w:val="es-AR" w:eastAsia="es-AR" w:bidi="es-AR"/>
        </w:rPr>
        <w:t xml:space="preserve">Achaca el análisis realizado por el operador de grado respecto de la pericia psicológica producida en autos, la que dejó en evidencia que el demandado es una persona con un patrón estable de desconfianza institucional que va a oponerse en cada interacción con resistencia. Extremo que considera se encuentra suficientemente acreditado en el expediente conexo, que ha sido ofrecido como prueba instrumental y el a quo omitió valorar.</w:t>
      </w:r>
    </w:p>
    <w:p>
      <w:pPr>
        <w:pStyle w:val="[Normal]"/>
        <w:spacing w:line="360" w:lineRule="auto"/>
        <w:ind w:firstLine="1134"/>
        <w:jc w:val="both"/>
        <w:rPr>
          <w:lang w:val="es-AR" w:eastAsia="es-AR" w:bidi="es-AR"/>
        </w:rPr>
      </w:pPr>
      <w:r>
        <w:rPr>
          <w:lang w:val="es-AR" w:eastAsia="es-AR" w:bidi="es-AR"/>
        </w:rPr>
        <w:t xml:space="preserve">Se agravia de que lo resuelto desecha lo dictaminado por la Sra. Asesora de incapaces, sin fundar debidamente los motivos para su apartamiento.</w:t>
      </w:r>
    </w:p>
    <w:p>
      <w:pPr>
        <w:pStyle w:val="[Normal]"/>
        <w:spacing w:line="360" w:lineRule="auto"/>
        <w:ind w:firstLine="1134"/>
        <w:jc w:val="both"/>
        <w:rPr>
          <w:lang w:val="es-AR" w:eastAsia="es-AR" w:bidi="es-AR"/>
        </w:rPr>
      </w:pPr>
      <w:r>
        <w:rPr>
          <w:lang w:val="es-AR" w:eastAsia="es-AR" w:bidi="es-AR"/>
        </w:rPr>
        <w:t xml:space="preserve">Finalmente, sostiene que la prueba producida acredita una inviabilidad funcional concreta del ejercicio conjunto, derivada tanto de las propias manifestaciones del progenitor como de su conducta observada en los encuentros supervisados llevados a cabo en el expediente conexo. Afirma que la modalidad compartida presupone condiciones de cooperación y comunicación que actualmente no se encuentran verificadas y que, en las circunstancias particulares de la niña (que tiene 3 años de edad, conviviente desde su nacimiento con la madre y con un vínculo paterno-filial todavía en construcción por la actividad jurisdiccional), mantener formalmente el ejercicio compartido constituiría una “ficción jurídica” contraria a su interés superior. En consecuencia, solicita que se revoque la sentencia en este aspecto y se atribuya a la progenitora el ejercicio unilateral de la responsabilidad parental, con revisión sujeta a la acreditación de cambios objetivos y verificables en las circunstancias que justifican dicha atribución.</w:t>
      </w:r>
    </w:p>
    <w:p>
      <w:pPr>
        <w:pStyle w:val="[Normal]"/>
        <w:spacing w:line="360" w:lineRule="auto"/>
        <w:ind w:firstLine="1134"/>
        <w:jc w:val="both"/>
        <w:rPr>
          <w:lang w:val="es-AR" w:eastAsia="es-AR" w:bidi="es-AR"/>
        </w:rPr>
      </w:pPr>
      <w:r>
        <w:rPr>
          <w:lang w:val="es-AR" w:eastAsia="es-AR" w:bidi="es-AR"/>
        </w:rPr>
        <w:t xml:space="preserve">Corrido el traslado el 28/5/2026, el mismo quedó incontestado por la contraria y por la Sra. Asesora de Incapaces.</w:t>
      </w:r>
    </w:p>
    <w:p>
      <w:pPr>
        <w:pStyle w:val="[Normal]"/>
        <w:spacing w:line="360" w:lineRule="auto"/>
        <w:ind w:firstLine="1134"/>
        <w:jc w:val="both"/>
        <w:rPr>
          <w:lang w:val="es-AR" w:eastAsia="es-AR" w:bidi="es-AR"/>
        </w:rPr>
      </w:pPr>
      <w:r>
        <w:rPr>
          <w:lang w:val="es-AR" w:eastAsia="es-AR" w:bidi="es-AR"/>
        </w:rPr>
        <w:t xml:space="preserve">Ingresando a tratar la apelación traída, he de decir que el motivo de agravio se circunscribe en lo dispuesto en la sentencia respecto al ejercicio de la responsabilidad parental compartido entre los progenitores de una niña de tan solo 3 años de edad.</w:t>
      </w:r>
    </w:p>
    <w:p>
      <w:pPr>
        <w:pStyle w:val="[Normal]"/>
        <w:spacing w:line="360" w:lineRule="auto"/>
        <w:ind w:firstLine="1134"/>
        <w:jc w:val="both"/>
        <w:rPr>
          <w:lang w:val="es-AR" w:eastAsia="es-AR" w:bidi="es-AR"/>
        </w:rPr>
      </w:pPr>
      <w:r>
        <w:rPr>
          <w:lang w:val="es-AR" w:eastAsia="es-AR" w:bidi="es-AR"/>
        </w:rPr>
        <w:t xml:space="preserve">Como bien analiza el operador de grado en su resolución, el art. 641 del Código Civil y Comercial establece como principio rector que el ejercicio de la responsabilidad parental corresponde "conjuntamente" a ambos padres - aún cuando no convivan -, lo cual supone que la realización de todos los actos que atañen a la vida de un niño cuentan con la participación y el consentimiento de ambos progenitores. Con ello el nuevo ordenamiento busca consagrar la igualdad de derechos entre el hombre y la mujer respecto de la crianza y educación de los hijos. La Convención Internacional sobre los derechos del Niños establece la protección del derecho a mantener relaciones personales y contacto directo del menor con ambos progenitores de manera regular. (art. 9 y 18 de la Convención citada). </w:t>
      </w:r>
    </w:p>
    <w:p>
      <w:pPr>
        <w:pStyle w:val="[Normal]"/>
        <w:spacing w:line="360" w:lineRule="auto"/>
        <w:ind w:firstLine="1134"/>
        <w:jc w:val="both"/>
        <w:rPr>
          <w:lang w:val="es-AR" w:eastAsia="es-AR" w:bidi="es-AR"/>
        </w:rPr>
      </w:pPr>
      <w:r>
        <w:rPr>
          <w:lang w:val="es-AR" w:eastAsia="es-AR" w:bidi="es-AR"/>
        </w:rPr>
        <w:t xml:space="preserve">El art. 7º de la ley 26.061 dice: "La familia es responsable en forma prioritaria de asegurar a las niñas, niños y adolescentes el disfrute pleno y el efectivo ejercicio de sus derechos y garantías. El padre y la madre tienen responsabilidades y obligaciones comunes e iguales en lo que respecta al cuidado, desarrollo y educación integral de sus hijos. Los Organismos del Estado deben asegurar políticas, programas y asistencia apropiados para que la familia pueda asumir adecuadamente esta responsabilidad, y para que los padres asuman, en igualdad de condiciones, sus responsabilidades y obligaciones". En definitiva, la regla general en este aspecto es la conservación del ejercicio de la responsabilidad parental en cabeza de ambos progenitores en caso de ruptura de la pareja parental.</w:t>
      </w:r>
    </w:p>
    <w:p>
      <w:pPr>
        <w:pStyle w:val="[Normal]"/>
        <w:spacing w:line="360" w:lineRule="auto"/>
        <w:ind w:firstLine="1134"/>
        <w:jc w:val="both"/>
        <w:rPr>
          <w:lang w:val="es-AR" w:eastAsia="es-AR" w:bidi="es-AR"/>
        </w:rPr>
      </w:pPr>
      <w:r>
        <w:rPr>
          <w:lang w:val="es-AR" w:eastAsia="es-AR" w:bidi="es-AR"/>
        </w:rPr>
        <w:t xml:space="preserve">El art. 642 del Código Civil y Comercial contempla expresamente la posibilidad de disponer que, cuando existen desacuerdos reiterados o concurre cualquier otra causa que entorpece gravemente el ejercicio de la responsabilidad parental, el juez puede atribuirlo total o parcialmente a uno de los progenitores o distribuir entre ellos sus funciones.</w:t>
      </w:r>
    </w:p>
    <w:p>
      <w:pPr>
        <w:pStyle w:val="[Normal]"/>
        <w:spacing w:line="360" w:lineRule="auto"/>
        <w:ind w:firstLine="1134"/>
        <w:jc w:val="both"/>
        <w:rPr>
          <w:lang w:val="es-AR" w:eastAsia="es-AR" w:bidi="es-AR"/>
        </w:rPr>
      </w:pPr>
      <w:r>
        <w:rPr>
          <w:lang w:val="es-AR" w:eastAsia="es-AR" w:bidi="es-AR"/>
        </w:rPr>
        <w:t xml:space="preserve">"El texto actual mantiene la intervención judicial para los conflictos que se derivan del devenir del ejercicio de la responsabilidad parental, siendo la atribución unilateral una excepcion, ya que se prevé -al igual que el codigo anterior- la existencia de: 1) desacuerdo reiterados, o 2) la concurrencia de causas graves que entorpezcan el ejercicio de la responsabilidad parental y, por ende, que afecten el normal desarrollo de la vida de los hijos" (Cfr.Ricardo L.Lorenzetti, Cod, Civ. Com. de la Nación Tomo IV, ed. Rubinzal-Culzoni editores, Año 2015, pag.297).</w:t>
      </w:r>
    </w:p>
    <w:p>
      <w:pPr>
        <w:pStyle w:val="[Normal]"/>
        <w:spacing w:line="360" w:lineRule="auto"/>
        <w:ind w:firstLine="1134"/>
        <w:jc w:val="both"/>
        <w:rPr>
          <w:lang w:val="es-AR" w:eastAsia="es-AR" w:bidi="es-AR"/>
        </w:rPr>
      </w:pPr>
      <w:r>
        <w:rPr>
          <w:lang w:val="es-AR" w:eastAsia="es-AR" w:bidi="es-AR"/>
        </w:rPr>
        <w:t xml:space="preserve">Por ello, el presupuesto que debe ser examinado aquí no es el que corresponde a los casos de privación o suspensión de la responsabilidad parental previstos en el Código Civil y Comercial, sino aquel relativo a la viabilidad concreta del ejercicio conjunto y a la existencia de circunstancias que puedan entorpecerlo gravemente.</w:t>
      </w:r>
    </w:p>
    <w:p>
      <w:pPr>
        <w:pStyle w:val="[Normal]"/>
        <w:spacing w:line="360" w:lineRule="auto"/>
        <w:ind w:firstLine="1134"/>
        <w:jc w:val="both"/>
        <w:rPr>
          <w:lang w:val="es-AR" w:eastAsia="es-AR" w:bidi="es-AR"/>
        </w:rPr>
      </w:pPr>
      <w:r>
        <w:rPr>
          <w:lang w:val="es-AR" w:eastAsia="es-AR" w:bidi="es-AR"/>
        </w:rPr>
        <w:t xml:space="preserve">La atribución unilateral contemplada en la normativa citada  constituye una herramienta destinada a procurar que las funciones parentales puedan desenvolverse de la manera más adecuada para el descendiente cuando el ejercicio conjunto no resulta funcional y puede limitarse por un tiempo.</w:t>
      </w:r>
    </w:p>
    <w:p>
      <w:pPr>
        <w:pStyle w:val="[Normal]"/>
        <w:spacing w:line="360" w:lineRule="auto"/>
        <w:ind w:firstLine="1134"/>
        <w:jc w:val="both"/>
        <w:rPr>
          <w:lang w:val="es-AR" w:eastAsia="es-AR" w:bidi="es-AR"/>
        </w:rPr>
      </w:pPr>
      <w:r>
        <w:rPr>
          <w:lang w:val="es-AR" w:eastAsia="es-AR" w:bidi="es-AR"/>
        </w:rPr>
        <w:t xml:space="preserve">Dicho lo anterior y analizada las constancias de la causa, se encuentra fuera de controversia que la niña M.B. fue fruto de una relación breve de pareja, que la pequeña vive exclusivamente con su progenitora, quien desde su nacimiento se ha ocupado de sus necesidades y cuidados cotidianos, extremo que llevó al juez a atribuir el cuidado personal unilateral a la madre. </w:t>
      </w:r>
    </w:p>
    <w:p>
      <w:pPr>
        <w:pStyle w:val="[Normal]"/>
        <w:spacing w:line="360" w:lineRule="auto"/>
        <w:ind w:firstLine="1134"/>
        <w:jc w:val="both"/>
        <w:rPr>
          <w:lang w:val="es-AR" w:eastAsia="es-AR" w:bidi="es-AR"/>
        </w:rPr>
      </w:pPr>
      <w:r>
        <w:rPr>
          <w:lang w:val="es-AR" w:eastAsia="es-AR" w:bidi="es-AR"/>
        </w:rPr>
        <w:t xml:space="preserve">Por otro lado, sustanciada la demanda con el progenitor, el mismo se allanó a la pretensión actoral, sin ofrecer resistencia al pedido de ejercicio unilateral de la responsabilidad parental.</w:t>
      </w:r>
    </w:p>
    <w:p>
      <w:pPr>
        <w:pStyle w:val="[Normal]"/>
        <w:spacing w:line="360" w:lineRule="auto"/>
        <w:ind w:firstLine="1134"/>
        <w:jc w:val="both"/>
        <w:rPr>
          <w:lang w:val="es-AR" w:eastAsia="es-AR" w:bidi="es-AR"/>
        </w:rPr>
      </w:pPr>
      <w:r>
        <w:rPr>
          <w:lang w:val="es-AR" w:eastAsia="es-AR" w:bidi="es-AR"/>
        </w:rPr>
        <w:t xml:space="preserve">El dictamen de la Sra. Asesora fue conteste con el pedido de la Sra. D, en cuanto sostuvo que luego de analizar las constancias obrantes en autos y valorando los resultados de los informes, quedó probado que su asistida se encuentra en un entorno estable, seguro y contenedor quedando a cargo de la madre, por lo que prestó conformidad a la pretensión principal.</w:t>
      </w:r>
    </w:p>
    <w:p>
      <w:pPr>
        <w:pStyle w:val="[Normal]"/>
        <w:spacing w:line="360" w:lineRule="auto"/>
        <w:ind w:firstLine="1134"/>
        <w:jc w:val="both"/>
        <w:rPr>
          <w:lang w:val="es-AR" w:eastAsia="es-AR" w:bidi="es-AR"/>
        </w:rPr>
      </w:pPr>
      <w:r>
        <w:rPr>
          <w:lang w:val="es-AR" w:eastAsia="es-AR" w:bidi="es-AR"/>
        </w:rPr>
        <w:t xml:space="preserve">Del informe interdiciplinario se desprende que el Sr. B cuenta con capacidades psíquicas que le permiten asumir el rol paterno y ejercer sus funciones parentales, y que no se advertían indicadores psicológicos que desaconsejaran la comunicación con su hija. Tal vinculación se estaría llevando a cabo de manera progresiva y supervisada en la causa conexa al presente caratulada "B M H c/ D A s/ Comunicación con los hijos", Exp. N° 42.037.</w:t>
      </w:r>
    </w:p>
    <w:p>
      <w:pPr>
        <w:pStyle w:val="[Normal]"/>
        <w:spacing w:line="360" w:lineRule="auto"/>
        <w:ind w:firstLine="1134"/>
        <w:jc w:val="both"/>
        <w:rPr>
          <w:lang w:val="es-AR" w:eastAsia="es-AR" w:bidi="es-AR"/>
        </w:rPr>
      </w:pPr>
      <w:r>
        <w:rPr>
          <w:lang w:val="es-AR" w:eastAsia="es-AR" w:bidi="es-AR"/>
        </w:rPr>
        <w:t xml:space="preserve">Allí se dispuso, según las constancias visualizadas en la MEV, un régimen de comunicación en mayo del corriente año a realizarse "los días domingos (por el plazo de 4 domingos) de 14 a 16 hs. Cumplido con éxito dicha etapa el horario se ampliará automáticamente de 14 a 17 hs por el plazo de 4 domingos, luego de los cuales las partes deberán acordar (sin necesidad de intervención judicial) los nuevos días y horarios de encuentros. 2) El régimen de comunicación deberá desarrollarse exclusivamente en espacios públicos (plazas, centros recreativos, shopping) debiendo estar la niña acompañada durante todo el encuentro por la progenitora o un familiar de la rama materna o referente afectivo que cuente con vínculo previo y positivo con la niña, para actuar como figura de apoyo y puente de confianza. Los traslados de la niña quedarán a cargo de la progenitora o el referente adulto que la reemplace.-"(Sentencia interlocutoria de fecha 18/5/2026).</w:t>
      </w:r>
    </w:p>
    <w:p>
      <w:pPr>
        <w:pStyle w:val="[Normal]"/>
        <w:spacing w:line="360" w:lineRule="auto"/>
        <w:ind w:firstLine="1134"/>
        <w:jc w:val="both"/>
        <w:rPr>
          <w:lang w:val="es-AR" w:eastAsia="es-AR" w:bidi="es-AR"/>
        </w:rPr>
      </w:pPr>
      <w:r>
        <w:rPr>
          <w:lang w:val="es-AR" w:eastAsia="es-AR" w:bidi="es-AR"/>
        </w:rPr>
        <w:t xml:space="preserve">Sabido es que el ejercicio conjunto de la responsabilidad parental supone que ambos progenitores intervengan en decisiones de relevancia para la vida de su hija, aun cuando el cuidado personal sea unilateral.</w:t>
      </w:r>
    </w:p>
    <w:p>
      <w:pPr>
        <w:pStyle w:val="[Normal]"/>
        <w:spacing w:line="360" w:lineRule="auto"/>
        <w:ind w:firstLine="1134"/>
        <w:jc w:val="both"/>
        <w:rPr>
          <w:lang w:val="es-AR" w:eastAsia="es-AR" w:bidi="es-AR"/>
        </w:rPr>
      </w:pPr>
      <w:r>
        <w:rPr>
          <w:lang w:val="es-AR" w:eastAsia="es-AR" w:bidi="es-AR"/>
        </w:rPr>
        <w:t xml:space="preserve">Y si bien la sentencia de grado explica que en el ejercicio compartido, el poder de iniciativa respecto de cuestiones fundamentales - entre ellas, educación, salud, cambios de domicilio y actividades relevantes- no recae exclusivamente en quien ejerce el cuidado personal, sino que debe estar en cabeza de ambos, en nuestro caso, y acreditado las desavenencias habidas entre las partes respecto de la niña, se ajusta a derecho el determinar judicialmente que la misma se encuentre en cabeza de la progenitora.</w:t>
      </w:r>
    </w:p>
    <w:p>
      <w:pPr>
        <w:pStyle w:val="[Normal]"/>
        <w:spacing w:line="360" w:lineRule="auto"/>
        <w:ind w:firstLine="1134"/>
        <w:jc w:val="both"/>
        <w:rPr>
          <w:lang w:val="es-AR" w:eastAsia="es-AR" w:bidi="es-AR"/>
        </w:rPr>
      </w:pPr>
      <w:r>
        <w:rPr>
          <w:lang w:val="es-AR" w:eastAsia="es-AR" w:bidi="es-AR"/>
        </w:rPr>
        <w:t xml:space="preserve">Por consiguiente, una vez reconocida judicialmente la existencia de una dinámica familiar en la cual la niña reside de modo exclusivo con su madre, y que mantiene con el progenitor un contacto que ha sido determinado judicialmente, con carácter esporádico y en proceso de consolidación del vínculo paterno-filial, la cuestión no podía agotarse en verificar que el padre posee aptitudes generales para el ejercicio de la función paterna.</w:t>
      </w:r>
    </w:p>
    <w:p>
      <w:pPr>
        <w:pStyle w:val="[Normal]"/>
        <w:spacing w:line="360" w:lineRule="auto"/>
        <w:ind w:firstLine="1134"/>
        <w:jc w:val="both"/>
        <w:rPr>
          <w:lang w:val="es-AR" w:eastAsia="es-AR" w:bidi="es-AR"/>
        </w:rPr>
      </w:pPr>
      <w:r>
        <w:rPr>
          <w:lang w:val="es-AR" w:eastAsia="es-AR" w:bidi="es-AR"/>
        </w:rPr>
        <w:t xml:space="preserve">Era necesario, determinar si existen condiciones reales para que ambos progenitores puedan llevar adelante conjuntamente aquellas decisiones.</w:t>
      </w:r>
    </w:p>
    <w:p>
      <w:pPr>
        <w:pStyle w:val="[Normal]"/>
        <w:spacing w:line="360" w:lineRule="auto"/>
        <w:ind w:firstLine="1134"/>
        <w:jc w:val="both"/>
        <w:rPr>
          <w:lang w:val="es-AR" w:eastAsia="es-AR" w:bidi="es-AR"/>
        </w:rPr>
      </w:pPr>
      <w:r>
        <w:rPr>
          <w:lang w:val="es-AR" w:eastAsia="es-AR" w:bidi="es-AR"/>
        </w:rPr>
        <w:t xml:space="preserve">Y es precisamente este aspecto el que, a mi juicio, no ha sido suficientemente ponderado en la sentencia. Del informe de la asistente social Sra. Chamas Micaela presentado el 8/9/2025, surge la inconstancia del vínculo entre la niña y su progenitor, así como la ausencia de un compromiso afectivo y económico sostenido y la existencia de antecedentes de situaciones conflictivas que generan temor y angustia en la progenitora. Asimismo, la profesional señala que la intermitencia de los encuentros habría incidido en el deterioro del vínculo paterno-filial y en la falta de consolidación del lazo afectivo. Finalmente, concluye que el centro de vida de la niña se encuentra junto a su madre, su familia materna y su entorno cercano, ámbito que presenta una estructura estable y funcional, con adecuada capacidad de contención y respuesta a sus necesidades psicoemocionales y materiales (P.E. 8/9/2025).</w:t>
      </w:r>
    </w:p>
    <w:p>
      <w:pPr>
        <w:pStyle w:val="[Normal]"/>
        <w:spacing w:line="360" w:lineRule="auto"/>
        <w:ind w:firstLine="1134"/>
        <w:jc w:val="both"/>
        <w:rPr>
          <w:lang w:val="es-AR" w:eastAsia="es-AR" w:bidi="es-AR"/>
        </w:rPr>
      </w:pPr>
      <w:r>
        <w:rPr>
          <w:lang w:val="es-AR" w:eastAsia="es-AR" w:bidi="es-AR"/>
        </w:rPr>
        <w:t xml:space="preserve">Asimismo, del informe socioambiental realizado al demandado, que obra glosado en fecha 10/9/2025, queda plasmado entre otras cuestiones que: En relación a su hija menor (M.), no realiza aporte en concepto de cuota alimentaria a la Sra. D y que la mayor dificultad planteada por el demandado, además de la imposibilidad de ejercer libremente su rol paterno y sostener adecuada comunicación con su hija, se relaciona a la imposibilidad de establecer acuerdos o aunar mínimos criterios en común con la Sra. D, referidos a la crianza de su hija, lo que lo obligaron a iniciar las causas judiciales conexas, y en la cual se esta trabajando para la revinculación filial de manera supervisada.</w:t>
      </w:r>
    </w:p>
    <w:p>
      <w:pPr>
        <w:pStyle w:val="[Normal]"/>
        <w:spacing w:line="360" w:lineRule="auto"/>
        <w:ind w:firstLine="1134"/>
        <w:jc w:val="both"/>
        <w:rPr>
          <w:lang w:val="es-AR" w:eastAsia="es-AR" w:bidi="es-AR"/>
        </w:rPr>
      </w:pPr>
      <w:r>
        <w:rPr>
          <w:lang w:val="es-AR" w:eastAsia="es-AR" w:bidi="es-AR"/>
        </w:rPr>
        <w:t xml:space="preserve">De la prueba testimonial producida en autos se advierten situaciones de desacuerdo y episodios que, prima facie, podrían ser calificados como violentos, los cuales permiten vislumbrar la conflictiva existente entre los progenitores y las desavenencias que han caracterizado su vínculo, circunstancia que necesariamente debe ser ponderada al momento de evaluar la viabilidad del ejercicio conjunto de la responsabilidad parental y, especialmente, su incidencia en el interés superior de la niña.(Actas de testigos agregada 19/3/2026).</w:t>
      </w:r>
    </w:p>
    <w:p>
      <w:pPr>
        <w:pStyle w:val="[Normal]"/>
        <w:spacing w:line="360" w:lineRule="auto"/>
        <w:ind w:firstLine="1134"/>
        <w:jc w:val="both"/>
        <w:rPr>
          <w:lang w:val="es-AR" w:eastAsia="es-AR" w:bidi="es-AR"/>
        </w:rPr>
      </w:pPr>
      <w:r>
        <w:rPr>
          <w:lang w:val="es-AR" w:eastAsia="es-AR" w:bidi="es-AR"/>
        </w:rPr>
        <w:t xml:space="preserve">Toda decisión judicial que involucra a un menor, debe dictarse en orientación al principio garantista y cardinal de protección de los niños, en concordancia con el bloque constitucional edictado en el art. 75 inc.22 de la CN, y la Convención Internacional de los Derechos del Niño. "El interés superior del niño apunta a la plena satisfacción de los derecho de los niños, niñas y adolescentes. Refiere al conjunto de intereses que están en un plano superior, es decir, por encima del resto, y tiene que ver con aquellos derechos que no admiten mas opción que su cumplimiento." </w:t>
      </w:r>
    </w:p>
    <w:p>
      <w:pPr>
        <w:pStyle w:val="[Normal]"/>
        <w:spacing w:line="360" w:lineRule="auto"/>
        <w:ind w:firstLine="1134"/>
        <w:jc w:val="both"/>
        <w:rPr>
          <w:lang w:val="es-AR" w:eastAsia="es-AR" w:bidi="es-AR"/>
        </w:rPr>
      </w:pPr>
      <w:r>
        <w:rPr>
          <w:lang w:val="es-AR" w:eastAsia="es-AR" w:bidi="es-AR"/>
        </w:rPr>
        <w:t xml:space="preserve">Y, la decisión que aquí se imparte, tiene por única finalidad evitar que los desacuerdos, discusiones y controversias que los progenitores tengan en relación de la niña, por cuestiones que hacen al ejercicio de la responsabilidad parental, afecten a la niña, que no olvidemos cuenta con tan solo 3 años de edad, y se encuentra bajo un régimen progresivo de comunicación con el padre. Cualquier eventualidad que exista entre los progenitores, debe ser evitada a fin de lograr la paz familiar y conseguir que el proceso de revinculación con el progenitor sea exitoso. </w:t>
      </w:r>
    </w:p>
    <w:p>
      <w:pPr>
        <w:pStyle w:val="[Normal]"/>
        <w:spacing w:line="360" w:lineRule="auto"/>
        <w:ind w:firstLine="1134"/>
        <w:jc w:val="both"/>
        <w:rPr>
          <w:lang w:val="es-AR" w:eastAsia="es-AR" w:bidi="es-AR"/>
        </w:rPr>
      </w:pPr>
      <w:r>
        <w:rPr>
          <w:lang w:val="es-AR" w:eastAsia="es-AR" w:bidi="es-AR"/>
        </w:rPr>
        <w:t xml:space="preserve">La atribución unilateral prevista por el art. 642 CCyCN constituye una modalidad de ejercicio que puede resultar necesaria cuando las circunstancias concretas demuestran que el sistema conjunto genera o puede generar obstáculos relevantes para la adecuada atención de las necesidades de la hija. Y, la decisión que propongo procura evitar que las diferencias existentes entre los progenitores se proyecten sobre cuestiones esenciales de la vida cotidiana y produzcan nuevos conflictos que terminen afectando a la niña.</w:t>
      </w:r>
    </w:p>
    <w:p>
      <w:pPr>
        <w:pStyle w:val="[Normal]"/>
        <w:spacing w:line="360" w:lineRule="auto"/>
        <w:ind w:firstLine="1134"/>
        <w:jc w:val="both"/>
        <w:rPr>
          <w:lang w:val="es-AR" w:eastAsia="es-AR" w:bidi="es-AR"/>
        </w:rPr>
      </w:pPr>
      <w:r>
        <w:rPr>
          <w:lang w:val="es-AR" w:eastAsia="es-AR" w:bidi="es-AR"/>
        </w:rPr>
        <w:t xml:space="preserve">Ahora bien, el ejercicio de la responsabilidad parental en cabeza de la progenitora, tiene que ser por un tiempo, lo que en atención a la edad de la niña (3 años), consideramos que dos años -que es el plazo máximo establecido legalmente- resultaría suficiente, pues ayudará a que en ese tiempo exista un velo de paz y armonía propicio para lograr la revinculación paterno-filial decretado judicialmente en el expediente conexo.</w:t>
      </w:r>
    </w:p>
    <w:p>
      <w:pPr>
        <w:pStyle w:val="[Normal]"/>
        <w:spacing w:line="360" w:lineRule="auto"/>
        <w:ind w:firstLine="1134"/>
        <w:jc w:val="both"/>
        <w:rPr>
          <w:lang w:val="es-AR" w:eastAsia="es-AR" w:bidi="es-AR"/>
        </w:rPr>
      </w:pPr>
      <w:r>
        <w:rPr>
          <w:lang w:val="es-AR" w:eastAsia="es-AR" w:bidi="es-AR"/>
        </w:rPr>
        <w:t xml:space="preserve">La atribución que aquí se dispone debe entenderse circunscripta al estado actual de las relaciones entre los progenitores y a las necesidades actuales de la niña, sin que implique anticipar un juicio definitivo acerca de la futura modalidad de ejercicio de la responsabilidad parental. Sabiendo también que una modificación objetiva y sustancial de las circunstancias podrá justificar, en su oportunidad, la revisión de la medida, ya sea para un cese o una prorroga de la misma.</w:t>
      </w:r>
    </w:p>
    <w:p>
      <w:pPr>
        <w:pStyle w:val="[Normal]"/>
        <w:spacing w:line="360" w:lineRule="auto"/>
        <w:ind w:firstLine="1134"/>
        <w:jc w:val="both"/>
        <w:rPr>
          <w:lang w:val="es-AR" w:eastAsia="es-AR" w:bidi="es-AR"/>
        </w:rPr>
      </w:pPr>
      <w:r>
        <w:rPr>
          <w:lang w:val="es-AR" w:eastAsia="es-AR" w:bidi="es-AR"/>
        </w:rPr>
        <w:t xml:space="preserve">Por todo lo hasta aquí dicho, propongo al acuerdo de mi colega que sigue en orden de voto, hacer lugar al recurso de apelación y modificar parcialmente la sentencia recurrida, atribuyendo a la progenitora el ejercicio unilateral de la responsabilidad parental respecto de M.B., por el plazo de 2 años desde el dictado de la presente (art. 642 del Código Civil y Comercial), confirmando en todo lo demás la sentencia de grado.</w:t>
      </w:r>
    </w:p>
    <w:p>
      <w:pPr>
        <w:pStyle w:val="[Normal]"/>
        <w:spacing w:line="360" w:lineRule="auto"/>
        <w:ind w:firstLine="1134"/>
        <w:jc w:val="both"/>
        <w:rPr>
          <w:lang w:val="es-AR" w:eastAsia="es-AR" w:bidi="es-AR"/>
        </w:rPr>
      </w:pPr>
      <w:r>
        <w:rPr>
          <w:lang w:val="es-AR" w:eastAsia="es-AR" w:bidi="es-AR"/>
        </w:rPr>
        <w:t xml:space="preserve">Por las razones dadas, citas legales de referencia y con el alcance indicado,</w:t>
      </w:r>
    </w:p>
    <w:p>
      <w:pPr>
        <w:pStyle w:val="[Normal]"/>
        <w:spacing w:line="360" w:lineRule="auto"/>
        <w:ind w:firstLine="1134"/>
        <w:jc w:val="both"/>
        <w:rPr>
          <w:lang w:val="es-AR" w:eastAsia="es-AR" w:bidi="es-AR"/>
        </w:rPr>
      </w:pPr>
      <w:r>
        <w:rPr>
          <w:b/>
          <w:lang w:val="es-AR" w:eastAsia="es-AR" w:bidi="es-AR"/>
        </w:rPr>
        <w:t xml:space="preserve">VOTO POR LA NEGATIVA.</w:t>
      </w:r>
    </w:p>
    <w:p>
      <w:pPr>
        <w:pStyle w:val="[Normal]"/>
        <w:spacing w:line="360" w:lineRule="auto"/>
        <w:ind w:firstLine="1134"/>
        <w:jc w:val="both"/>
        <w:rPr>
          <w:lang w:val="es-AR" w:eastAsia="es-AR" w:bidi="es-AR"/>
        </w:rPr>
      </w:pPr>
      <w:r>
        <w:rPr>
          <w:lang w:val="es-AR" w:eastAsia="es-AR" w:bidi="es-AR"/>
        </w:rPr>
        <w:t xml:space="preserve">A la misma cuestión la señora Jueza Graciela Scaraffia por análogos fundamentos votó en el mismo sentido.-</w:t>
      </w:r>
    </w:p>
    <w:p>
      <w:pPr>
        <w:pStyle w:val="[Normal]"/>
        <w:spacing w:line="360" w:lineRule="auto"/>
        <w:ind w:firstLine="1134"/>
        <w:jc w:val="both"/>
        <w:rPr>
          <w:lang w:val="es-AR" w:eastAsia="es-AR" w:bidi="es-AR"/>
        </w:rPr>
      </w:pPr>
      <w:r>
        <w:rPr>
          <w:lang w:val="es-AR" w:eastAsia="es-AR" w:bidi="es-AR"/>
        </w:rPr>
        <w:t xml:space="preserve">A la segunda cuestión el señor Juez Roberto Degleue dijo: de conformidad al resultado habido al tratarse la cuestión precedente, estimo que el pronunciamiento que corresponde dictar es: </w:t>
      </w:r>
    </w:p>
    <w:p>
      <w:pPr>
        <w:pStyle w:val="[Normal]"/>
        <w:spacing w:line="360" w:lineRule="auto"/>
        <w:ind w:firstLine="1134"/>
        <w:jc w:val="both"/>
        <w:rPr>
          <w:lang w:val="es-AR" w:eastAsia="es-AR" w:bidi="es-AR"/>
        </w:rPr>
      </w:pPr>
      <w:r>
        <w:rPr>
          <w:lang w:val="es-AR" w:eastAsia="es-AR" w:bidi="es-AR"/>
        </w:rPr>
        <w:t xml:space="preserve">Hacer lugar al recurso de apelación y modificar parcialmente la sentencia recurrida, atribuyendo a la progenitora el ejercicio unilateral de la responsabilidad parental respecto de M.B., por el plazo de dos años desde el dictado de la presente (art. 642 del Código Civil y Comercial), confirmando en todo lo demás la sentencia de grado.</w:t>
      </w:r>
    </w:p>
    <w:p>
      <w:pPr>
        <w:pStyle w:val="[Normal]"/>
        <w:spacing w:line="360" w:lineRule="auto"/>
        <w:ind w:firstLine="1134"/>
        <w:jc w:val="both"/>
        <w:rPr>
          <w:lang w:val="es-AR" w:eastAsia="es-AR" w:bidi="es-AR"/>
        </w:rPr>
      </w:pPr>
      <w:r>
        <w:rPr>
          <w:lang w:val="es-AR" w:eastAsia="es-AR" w:bidi="es-AR"/>
        </w:rPr>
        <w:t xml:space="preserve">Costas de alzada por su orden (art. 68/9 del CPCC).</w:t>
      </w:r>
    </w:p>
    <w:p>
      <w:pPr>
        <w:pStyle w:val="[Normal]"/>
        <w:spacing w:line="360" w:lineRule="auto"/>
        <w:ind w:firstLine="1134"/>
        <w:jc w:val="both"/>
        <w:rPr>
          <w:lang w:val="es-AR" w:eastAsia="es-AR" w:bidi="es-AR"/>
        </w:rPr>
      </w:pPr>
      <w:r>
        <w:rPr>
          <w:lang w:val="es-AR" w:eastAsia="es-AR" w:bidi="es-AR"/>
        </w:rPr>
        <w:t xml:space="preserve">La regulación de Alzada se hará por auto separado.-</w:t>
      </w:r>
    </w:p>
    <w:p>
      <w:pPr>
        <w:pStyle w:val="[Normal]"/>
        <w:spacing w:line="360" w:lineRule="auto"/>
        <w:ind w:firstLine="1134"/>
        <w:jc w:val="both"/>
        <w:rPr>
          <w:lang w:val="es-AR" w:eastAsia="es-AR" w:bidi="es-AR"/>
        </w:rPr>
      </w:pPr>
      <w:r>
        <w:rPr>
          <w:b/>
          <w:lang w:val="es-AR" w:eastAsia="es-AR" w:bidi="es-AR"/>
        </w:rPr>
        <w:t xml:space="preserve">ASI LO VOTO. </w:t>
      </w:r>
    </w:p>
    <w:p>
      <w:pPr>
        <w:pStyle w:val="[Normal]"/>
        <w:spacing w:line="360" w:lineRule="auto"/>
        <w:ind w:firstLine="1134"/>
        <w:jc w:val="both"/>
        <w:rPr>
          <w:lang w:val="es-AR" w:eastAsia="es-AR" w:bidi="es-AR"/>
        </w:rPr>
      </w:pPr>
      <w:r>
        <w:rPr>
          <w:lang w:val="es-AR" w:eastAsia="es-AR" w:bidi="es-AR"/>
        </w:rPr>
        <w:t xml:space="preserve">A la misma cuestión la señora Jueza Graciela Scaraffia por análogos fundamentos votó en el mismo sentido.-</w:t>
      </w:r>
    </w:p>
    <w:p>
      <w:pPr>
        <w:pStyle w:val="[Normal]"/>
        <w:spacing w:line="360" w:lineRule="auto"/>
        <w:ind w:firstLine="1134"/>
        <w:jc w:val="both"/>
        <w:rPr>
          <w:lang w:val="es-AR" w:eastAsia="es-AR" w:bidi="es-AR"/>
        </w:rPr>
      </w:pPr>
      <w:r>
        <w:rPr>
          <w:lang w:val="es-AR" w:eastAsia="es-AR" w:bidi="es-AR"/>
        </w:rPr>
        <w:t xml:space="preserve">Con lo que terminó el presente Acuerdo, dictándose la siguiente;</w:t>
      </w:r>
    </w:p>
    <w:p>
      <w:pPr>
        <w:pStyle w:val="[Normal]"/>
        <w:spacing w:line="360" w:lineRule="auto"/>
        <w:ind w:firstLine="1134"/>
        <w:jc w:val="both"/>
        <w:rPr>
          <w:lang w:val="es-AR" w:eastAsia="es-AR" w:bidi="es-AR"/>
        </w:rPr>
      </w:pPr>
      <w:r>
        <w:rPr>
          <w:b/>
          <w:lang w:val="es-AR" w:eastAsia="es-AR" w:bidi="es-AR"/>
        </w:rPr>
        <w:t xml:space="preserve">S E N T E N C I A</w:t>
      </w:r>
      <w:r>
        <w:rPr>
          <w:lang w:val="es-AR" w:eastAsia="es-AR" w:bidi="es-AR"/>
        </w:rPr>
        <w:t xml:space="preserve">:</w:t>
      </w:r>
    </w:p>
    <w:p>
      <w:pPr>
        <w:pStyle w:val="[Normal]"/>
        <w:spacing w:line="360" w:lineRule="auto"/>
        <w:ind w:firstLine="1134"/>
        <w:jc w:val="both"/>
        <w:rPr>
          <w:lang w:val="es-AR" w:eastAsia="es-AR" w:bidi="es-AR"/>
        </w:rPr>
      </w:pPr>
      <w:r>
        <w:rPr>
          <w:lang w:val="es-AR" w:eastAsia="es-AR" w:bidi="es-AR"/>
        </w:rPr>
        <w:t xml:space="preserve">Hacer lugar al recurso de apelación y modificar parcialmente la sentencia recurrida, atribuyendo a la progenitora el ejercicio unilateral de la responsabilidad parental respecto de M.B., por el plazo de dos años desde el dictado de la presente (art. 642 del Código Civil y Comercial), confirmando en todo lo demás la sentencia de grado.</w:t>
      </w:r>
    </w:p>
    <w:p>
      <w:pPr>
        <w:pStyle w:val="[Normal]"/>
        <w:spacing w:line="360" w:lineRule="auto"/>
        <w:ind w:firstLine="1134"/>
        <w:jc w:val="both"/>
        <w:rPr>
          <w:lang w:val="es-AR" w:eastAsia="es-AR" w:bidi="es-AR"/>
        </w:rPr>
      </w:pPr>
      <w:r>
        <w:rPr>
          <w:lang w:val="es-AR" w:eastAsia="es-AR" w:bidi="es-AR"/>
        </w:rPr>
        <w:t xml:space="preserve">Costas de alzada por su orden (art. 68/9 del CPCC).</w:t>
      </w:r>
    </w:p>
    <w:p>
      <w:pPr>
        <w:pStyle w:val="[Normal]"/>
        <w:spacing w:line="360" w:lineRule="auto"/>
        <w:ind w:firstLine="1134"/>
        <w:jc w:val="both"/>
        <w:rPr>
          <w:b/>
          <w:u w:val="single"/>
          <w:lang w:val="es-AR" w:eastAsia="es-AR" w:bidi="es-AR"/>
        </w:rPr>
      </w:pPr>
      <w:r>
        <w:rPr>
          <w:lang w:val="es-AR" w:eastAsia="es-AR" w:bidi="es-AR"/>
        </w:rPr>
        <w:t xml:space="preserve">La regulación de Alzada se hará por auto separado.</w:t>
      </w:r>
    </w:p>
    <w:p>
      <w:pPr>
        <w:pStyle w:val="[Normal]"/>
        <w:spacing w:line="360" w:lineRule="auto"/>
        <w:ind w:firstLine="1134"/>
        <w:jc w:val="both"/>
        <w:rPr>
          <w:color w:val="000000"/>
          <w:lang w:val="es-AR" w:eastAsia="es-AR" w:bidi="es-AR"/>
        </w:rPr>
      </w:pPr>
      <w:r>
        <w:rPr>
          <w:lang w:val="es-AR" w:eastAsia="es-AR" w:bidi="es-AR"/>
        </w:rPr>
        <w:t xml:space="preserve">Regístrese. Notifíquese por Secretaría (Ac. 4013 SCBA) remitiéndose copia digital de la presente sentencia a los domicilios electrónicos de las respectivas partes. Devuélvase.</w:t>
      </w:r>
    </w:p>
    <w:p>
      <w:pPr>
        <w:pStyle w:val="[Normal]"/>
        <w:spacing w:line="480" w:lineRule="auto"/>
        <w:ind w:firstLine="1134"/>
        <w:jc w:val="both"/>
        <w:rPr>
          <w:color w:val="000000"/>
          <w:lang w:val="es-AR" w:eastAsia="es-AR" w:bidi="es-AR"/>
        </w:rPr>
      </w:pPr>
    </w:p>
    <w:sectPr>
      <w:headerReference w:type="default" r:id="rId00004"/>
      <w:footerReference w:type="default" r:id="rId00005"/>
      <w:pgSz w:w="11907" w:h="16834"/>
      <w:pgMar w:top="2835" w:right="850" w:bottom="1134" w:left="2835" w:header="567" w:footer="567"/>
      <w:pgBorders w:display="allPages" w:offsetFrom="page"/>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BarCode 128">
    <w:charset w:val="00"/>
    <w:family w:val="auto"/>
    <w:pitch w:val="variable"/>
  </w:font>
</w:fonts>
</file>

<file path=word/footer0001.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wpc="http://schemas.microsoft.com/office/word/2010/wordprocessingCanvas" xmlns:wpg="http://schemas.microsoft.com/office/word/2010/wordprocessingGroup" xmlns:wps="http://schemas.microsoft.com/office/word/2010/wordprocessingShape" xmlns:mc="http://schemas.openxmlformats.org/markup-compatibility/2006" xmlns:w14="http://schemas.microsoft.com/office/word/2010/wordml" xmlns:w15="http://schemas.microsoft.com/office/word/2012/wordml" xmlns:tx19="http://schemas.textcontrol.com/tx/1900" xmlns:tx23="http://schemas.textcontrol.com/tx/2300" mc:Ignorable="w14 w15 tx19 tx23">
  <w:p>
    <w:pPr>
      <w:pStyle w:val="[Normal]"/>
      <w:rPr>
        <w:lang w:val="es-AR" w:eastAsia="es-AR" w:bidi="es-AR"/>
      </w:rPr>
    </w:pPr>
    <w:r>
      <w:rPr>
        <w:lang w:val="es-AR" w:eastAsia="es-AR" w:bidi="es-AR"/>
      </w:rPr>
      <w:t xml:space="preserve"> </w:t>
    </w:r>
    <w:r>
      <w:rPr>
        <w:lang w:val="es-AR" w:eastAsia="es-AR" w:bidi="es-AR"/>
      </w:rPr>
      <w:fldChar w:fldCharType="begin"/>
    </w:r>
    <w:r>
      <w:rPr>
        <w:lang w:val="es-AR" w:eastAsia="es-AR" w:bidi="es-AR"/>
      </w:rPr>
      <w:instrText xml:space="preserve"> PAGE \* Arabic \* MERGEFORMAT </w:instrText>
    </w:r>
    <w:r>
      <w:rPr>
        <w:lang w:val="es-AR" w:eastAsia="es-AR" w:bidi="es-AR"/>
      </w:rPr>
      <w:fldChar w:fldCharType="separate"/>
    </w:r>
    <w:r>
      <w:rPr>
        <w:lang w:val="es-AR" w:eastAsia="es-AR" w:bidi="es-AR"/>
      </w:rPr>
      <w:t xml:space="preserve">1</w:t>
    </w:r>
    <w:r>
      <w:rPr>
        <w:lang w:val="es-AR" w:eastAsia="es-AR" w:bidi="es-AR"/>
      </w:rPr>
      <w:fldChar w:fldCharType="end"/>
    </w:r>
  </w:p>
</w:ftr>
</file>

<file path=word/header0001.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wpc="http://schemas.microsoft.com/office/word/2010/wordprocessingCanvas" xmlns:wpg="http://schemas.microsoft.com/office/word/2010/wordprocessingGroup" xmlns:wps="http://schemas.microsoft.com/office/word/2010/wordprocessingShape" xmlns:mc="http://schemas.openxmlformats.org/markup-compatibility/2006" xmlns:w14="http://schemas.microsoft.com/office/word/2010/wordml" xmlns:w15="http://schemas.microsoft.com/office/word/2012/wordml" xmlns:tx19="http://schemas.textcontrol.com/tx/1900" xmlns:tx23="http://schemas.textcontrol.com/tx/2300" mc:Ignorable="w14 w15 tx19 tx23">
  <w:p>
    <w:pPr>
      <w:pStyle w:val="[Normal]"/>
      <w:jc w:val="right"/>
      <w:rPr>
        <w:color w:val="000000"/>
        <w:lang w:val="es-AR" w:eastAsia="es-AR" w:bidi="es-AR"/>
      </w:rPr>
    </w:pPr>
    <w:r>
      <w:rPr>
        <w:color w:val="000000"/>
        <w:lang w:val="es-AR" w:eastAsia="es-AR" w:bidi="es-AR"/>
      </w:rPr>
      <w:t xml:space="preserve"> </w:t>
    </w:r>
  </w:p>
  <w:p>
    <w:pPr>
      <w:pStyle w:val="[Normal]"/>
      <w:jc w:val="right"/>
      <w:rPr>
        <w:color w:val="000000"/>
        <w:lang w:val="es-AR" w:eastAsia="es-AR" w:bidi="es-AR"/>
      </w:rPr>
    </w:pPr>
    <w:r>
      <w:rPr>
        <w:lang w:val="es-AR" w:eastAsia="es-AR" w:bidi="es-AR"/>
      </w:rPr>
      <w:t xml:space="preserve"> </w:t>
    </w:r>
    <w:r>
      <w:rPr>
        <w:rFonts w:ascii="BarCode 128" w:hAnsi="BarCode 128" w:eastAsia="BarCode 128" w:cs="BarCode 128"/>
        <w:color w:val="000000"/>
        <w:sz w:val="50"/>
        <w:lang w:val="es-AR" w:eastAsia="es-AR" w:bidi="es-AR"/>
      </w:rPr>
      <w:t xml:space="preserve">‰7J")è'!&lt;q4Š</w:t>
    </w:r>
    <w:r>
      <w:rPr>
        <w:color w:val="000000"/>
        <w:lang w:val="es-AR" w:eastAsia="es-AR" w:bidi="es-AR"/>
      </w:rPr>
      <w:t xml:space="preserve"> </w:t>
    </w:r>
  </w:p>
  <w:p>
    <w:pPr>
      <w:pStyle w:val="[Normal]"/>
      <w:jc w:val="right"/>
      <w:rPr>
        <w:color w:val="000000"/>
        <w:lang w:val="es-AR" w:eastAsia="es-AR" w:bidi="es-AR"/>
      </w:rPr>
    </w:pPr>
    <w:r>
      <w:rPr>
        <w:color w:val="000000"/>
        <w:lang w:val="es-AR" w:eastAsia="es-AR" w:bidi="es-AR"/>
      </w:rPr>
      <w:t xml:space="preserve">234202090007012881</w:t>
    </w:r>
    <w:r>
      <w:rPr>
        <w:color w:val="000000"/>
        <w:lang w:val="es-AR" w:eastAsia="es-AR" w:bidi="es-AR"/>
      </w:rPr>
      <w:t xml:space="preserve"> </w:t>
    </w:r>
  </w:p>
  <w:p>
    <w:pPr>
      <w:pStyle w:val="[Normal]"/>
      <w:jc w:val="both"/>
      <w:rPr>
        <w:color w:val="000000"/>
        <w:lang w:val="es-AR" w:eastAsia="es-AR" w:bidi="es-AR"/>
      </w:rPr>
    </w:pPr>
    <w:r>
      <w:rPr>
        <w:color w:val="000000"/>
        <w:lang w:val="es-AR" w:eastAsia="es-AR" w:bidi="es-AR"/>
      </w:rPr>
      <w:t xml:space="preserve">                   </w:t>
    </w:r>
    <w:r>
      <w:rPr>
        <w:color w:val="000000"/>
        <w:lang w:val="es-AR" w:eastAsia="es-AR" w:bidi="es-AR"/>
      </w:rPr>
      <w:drawing>
        <wp:inline distT="0" distB="0" distL="0" distR="0">
          <wp:extent cx="420370" cy="609600"/>
          <wp:docPr id="1" name="_tx_id_1_"/>
          <a:graphic xmlns:a="http://schemas.openxmlformats.org/drawingml/2006/main">
            <a:graphicData uri="http://schemas.openxmlformats.org/drawingml/2006/picture">
              <pic:pic xmlns:pic="http://schemas.openxmlformats.org/drawingml/2006/picture">
                <pic:nvPicPr>
                  <pic:cNvPr id="0" name="Image 1"/>
                  <pic:cNvPicPr/>
                </pic:nvPicPr>
                <pic:blipFill>
                  <a:blip r:embed="rId00003"/>
                  <a:stretch>
                    <a:fillRect/>
                  </a:stretch>
                </pic:blipFill>
                <pic:spPr>
                  <a:xfrm>
                    <a:off x="0" y="0"/>
                    <a:ext cx="420370" cy="609600"/>
                  </a:xfrm>
                  <a:prstGeom prst="rect">
                    <a:avLst/>
                  </a:prstGeom>
                </pic:spPr>
              </pic:pic>
            </a:graphicData>
          </a:graphic>
        </wp:inline>
      </w:drawing>
    </w:r>
  </w:p>
  <w:p>
    <w:pPr>
      <w:pStyle w:val="[Normal]"/>
      <w:jc w:val="both"/>
      <w:rPr>
        <w:color w:val="000000"/>
        <w:lang w:val="es-AR" w:eastAsia="es-AR" w:bidi="es-AR"/>
      </w:rPr>
    </w:pPr>
    <w:r>
      <w:rPr>
        <w:color w:val="000000"/>
        <w:lang w:val="es-AR" w:eastAsia="es-AR" w:bidi="es-AR"/>
      </w:rPr>
      <w:t xml:space="preserve">PROVINCIA DE BUENOS AIRES</w:t>
    </w:r>
  </w:p>
  <w:p>
    <w:pPr>
      <w:pStyle w:val="[Normal]"/>
      <w:jc w:val="both"/>
      <w:rPr>
        <w:color w:val="000000"/>
        <w:lang w:val="es-AR" w:eastAsia="es-AR" w:bidi="es-AR"/>
      </w:rPr>
    </w:pPr>
    <w:r>
      <w:rPr>
        <w:color w:val="000000"/>
        <w:lang w:val="es-AR" w:eastAsia="es-AR" w:bidi="es-AR"/>
      </w:rPr>
      <w:t xml:space="preserve">              Poder Judicial </w:t>
    </w:r>
  </w:p>
  <w:p>
    <w:pPr>
      <w:pStyle w:val="[Normal]"/>
      <w:jc w:val="both"/>
      <w:rPr>
        <w:color w:val="000000"/>
        <w:lang w:val="es-AR" w:eastAsia="es-AR" w:bidi="es-AR"/>
      </w:rPr>
    </w:pPr>
  </w:p>
</w:hdr>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bordersDoNotSurroundFooter/>
  <w:defaultTabStop w:val="1134"/>
  <w:compat>
    <w:noExtraLineSpacing/>
  </w:compat>
  <tx24:txVer tx24:val="25.0.323.500"/>
</w:settings>
</file>

<file path=word/styles.xml><?xml version="1.0" encoding="utf-8"?>
<w:styles xmlns:w="http://schemas.openxmlformats.org/wordprocessingml/2006/main">
  <w:docDefaults>
    <w:rPrDefault>
      <w:rPr>
        <w:rFonts w:ascii="Arial"/>
        <w:sz w:val="24"/>
      </w:rPr>
    </w:rPrDefault>
  </w:docDefaults>
  <w:style w:type="paragraph" w:styleId="[Normal]" w:default="1">
    <w:name w:val="[Normal]"/>
    <w:next w:val="[Normal]"/>
    <w:qFormat/>
    <w:pPr>
      <w:widowControl w:val="off"/>
      <w:shd w:val="clear" w:color="auto" w:fill="auto"/>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after="0" w:line="240" w:lineRule="auto"/>
      <w:ind w:left="0" w:right="0" w:firstLine="0"/>
      <w:jc w:val="left"/>
    </w:pPr>
    <w:rPr>
      <w:rFonts w:ascii="Arial" w:hAnsi="Arial" w:eastAsia="Arial" w:cs="Arial"/>
      <w:b w:val="off"/>
      <w:bCs w:val="off"/>
      <w:i w:val="off"/>
      <w:iCs w:val="off"/>
      <w:strike w:val="off"/>
      <w:color w:val="auto"/>
      <w:position w:val="0"/>
      <w:sz w:val="24"/>
      <w:szCs w:val="24"/>
      <w:shd w:val="clear" w:color="auto" w:fill="auto"/>
      <w:rtl w:val="off"/>
      <w:lang w:val="x-none" w:eastAsia="x-none" w:bidi="x-none"/>
    </w:rPr>
  </w:style>
</w:styles>
</file>

<file path=word/_rels/document.xml.rels><?xml version="1.0" encoding="UTF-8" standalone="yes"?><Relationships xmlns="http://schemas.openxmlformats.org/package/2006/relationships">
	<Relationship Id="rId00002" Type="http://schemas.openxmlformats.org/officeDocument/2006/relationships/styles" Target="styles.xml"/>
	<Relationship Id="rId00004" Type="http://schemas.openxmlformats.org/officeDocument/2006/relationships/header" Target="header0001.xml"/>
	<Relationship Id="rId00005" Type="http://schemas.openxmlformats.org/officeDocument/2006/relationships/footer" Target="footer0001.xml"/>
	<Relationship Id="rId00006" Type="http://schemas.openxmlformats.org/officeDocument/2006/relationships/fontTable" Target="fontTable.xml"/>
	<Relationship Id="rId00007" Type="http://schemas.openxmlformats.org/officeDocument/2006/relationships/settings" Target="settings.xml"/>
</Relationships>
</file>

<file path=word/_rels/header0001.xml.rels><?xml version="1.0" encoding="UTF-8" standalone="yes"?><Relationships xmlns="http://schemas.openxmlformats.org/package/2006/relationships">
	<Relationship Id="rId00003" Type="http://schemas.openxmlformats.org/officeDocument/2006/relationships/image" Target="media/image0001.wmf"/>
</Relationships>
</file>