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6133-26</w:t>
      </w:r>
      <w:r>
        <w:rPr>
          <w:lang w:val="es-AR" w:eastAsia="es-AR" w:bidi="es-AR"/>
        </w:rPr>
        <w:t xml:space="preserve"> caratulada </w:t>
      </w:r>
      <w:r>
        <w:rPr>
          <w:b/>
          <w:lang w:val="es-AR" w:eastAsia="es-AR" w:bidi="es-AR"/>
        </w:rPr>
        <w:t xml:space="preserve">"</w:t>
      </w:r>
      <w:r>
        <w:rPr>
          <w:b/>
          <w:color w:val="000000"/>
          <w:lang w:val="es-AR" w:eastAsia="es-AR" w:bidi="es-AR"/>
        </w:rPr>
        <w:t xml:space="preserve">CATOIA GUILLERMO EZEQUIEL S/ SUCESION AB-INTESTATO</w:t>
      </w:r>
      <w:r>
        <w:rPr>
          <w:b/>
          <w:lang w:val="es-AR" w:eastAsia="es-AR" w:bidi="es-AR"/>
        </w:rPr>
        <w:t xml:space="preserve">"</w:t>
      </w:r>
      <w:r>
        <w:rPr>
          <w:lang w:val="es-AR" w:eastAsia="es-AR" w:bidi="es-AR"/>
        </w:rPr>
        <w:t xml:space="preserve">, Expte. N° 81.368</w:t>
      </w:r>
      <w:r>
        <w:rPr>
          <w:color w:val="000000"/>
          <w:lang w:val="es-AR" w:eastAsia="es-AR" w:bidi="es-AR"/>
        </w:rPr>
        <w:t xml:space="preserve"> </w:t>
      </w:r>
      <w:r>
        <w:rPr>
          <w:lang w:val="es-AR" w:eastAsia="es-AR" w:bidi="es-AR"/>
        </w:rPr>
        <w:t xml:space="preserve">del Juzgado Civil y Comercial N° 1</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El Sr. Néstor Gustavo Calgaterra promovió el proceso sucesorio ab intestato de Guillermo Ezequiel Catoia, invocando su carácter de acreedor hipotecario.</w:t>
      </w:r>
    </w:p>
    <w:p>
      <w:pPr>
        <w:pStyle w:val="[Normal]"/>
        <w:spacing w:line="360" w:lineRule="auto"/>
        <w:ind w:firstLine="1134"/>
        <w:jc w:val="both"/>
        <w:rPr>
          <w:lang w:val="es-AR" w:eastAsia="es-AR" w:bidi="es-AR"/>
        </w:rPr>
      </w:pPr>
      <w:r>
        <w:rPr>
          <w:lang w:val="es-AR" w:eastAsia="es-AR" w:bidi="es-AR"/>
        </w:rPr>
        <w:t xml:space="preserve">Expuso que mediante escritura pública n.° 151 de fecha 13/12/2023 otorgada ante la escribana María Natalia Sequeiro, se instrumentó la compraventa del inmueble identificado como Parcela 1 de la Manzana 132e, en la que intervinieron Guillermo Ezequiel Catoia y Diego Alejandro Catoia, constituyéndose en garantía del saldo de precio por la suma de U$S 22.550, un derecho real de hipoteca en primer grado de privilegio a favor del peticionario.</w:t>
      </w:r>
    </w:p>
    <w:p>
      <w:pPr>
        <w:pStyle w:val="[Normal]"/>
        <w:spacing w:line="360" w:lineRule="auto"/>
        <w:ind w:firstLine="1134"/>
        <w:jc w:val="both"/>
        <w:rPr>
          <w:lang w:val="es-AR" w:eastAsia="es-AR" w:bidi="es-AR"/>
        </w:rPr>
      </w:pPr>
      <w:r>
        <w:rPr>
          <w:lang w:val="es-AR" w:eastAsia="es-AR" w:bidi="es-AR"/>
        </w:rPr>
        <w:t xml:space="preserve">Alegó que la obligación se encontraba vencida e impaga desde el 10/3/25 y acompañó carta documento de fecha 10/3/26 mediante la cual intimó el pago. Asimismo, denunció como presuntos herederos del causante a cinco hijos menores de edad, individualizando a sus respectivas representantes legales.</w:t>
      </w:r>
    </w:p>
    <w:p>
      <w:pPr>
        <w:pStyle w:val="[Normal]"/>
        <w:spacing w:line="360" w:lineRule="auto"/>
        <w:ind w:firstLine="1134"/>
        <w:jc w:val="both"/>
        <w:rPr>
          <w:lang w:val="es-AR" w:eastAsia="es-AR" w:bidi="es-AR"/>
        </w:rPr>
      </w:pPr>
      <w:r>
        <w:rPr>
          <w:lang w:val="es-AR" w:eastAsia="es-AR" w:bidi="es-AR"/>
        </w:rPr>
        <w:t xml:space="preserve">Por providencia de fecha 8/6/26, el juez de grado dispuso que no habiendo acreditado prima facie el peticionario el reconocimiento judicial de su acreencia, debía subsanar dicha deficiencia y cumplir los recaudos previos de ley que habilitan la apertura de la sucesión por parte de un acreedor.</w:t>
      </w:r>
    </w:p>
    <w:p>
      <w:pPr>
        <w:pStyle w:val="[Normal]"/>
        <w:spacing w:line="360" w:lineRule="auto"/>
        <w:ind w:firstLine="1134"/>
        <w:jc w:val="both"/>
        <w:rPr>
          <w:lang w:val="es-AR" w:eastAsia="es-AR" w:bidi="es-AR"/>
        </w:rPr>
      </w:pPr>
      <w:r>
        <w:rPr>
          <w:lang w:val="es-AR" w:eastAsia="es-AR" w:bidi="es-AR"/>
        </w:rPr>
        <w:t xml:space="preserve">Contra dicha decisión, el interesado interpuso recurso de revocatoria con apelación en subsidio. Sostuvo en lo sustancial, que el art. 689 del CPCC -actual art. 724 del ordenamiento provincial- no exige el previo reconocimiento judicial de la acreencia, sino la justificación prima facie del carácter de parte legítima. Afirmó que tal recaudo se encontraba satisfecho mediante la escritura pública que instrumenta el crédito y la garantía hipotecaria, juntamente con la documentación relativa a la mora.</w:t>
      </w:r>
    </w:p>
    <w:p>
      <w:pPr>
        <w:pStyle w:val="[Normal]"/>
        <w:spacing w:line="360" w:lineRule="auto"/>
        <w:ind w:firstLine="1134"/>
        <w:jc w:val="both"/>
        <w:rPr>
          <w:lang w:val="es-AR" w:eastAsia="es-AR" w:bidi="es-AR"/>
        </w:rPr>
      </w:pPr>
      <w:r>
        <w:rPr>
          <w:lang w:val="es-AR" w:eastAsia="es-AR" w:bidi="es-AR"/>
        </w:rPr>
        <w:t xml:space="preserve">Al resolver la revocatoria, el juez de grado mantuvo el criterio adoptado. Consideró que la intimación acompañada había sido dirigida al causante y no a sus herederos, con la finalidad de que éstos iniciaran el proceso sucesorio, y sostuvo que el acreedor no se encuentra autorizado ab initio para promoverlo, pues su intervención se sustenta en una acción subrogatoria de los derechos de quienes están llamados a suceder al causante. Añadió que de la escritura n.° 151 surgiría que el causante había cedido los derechos y obligaciones derivados del boleto de compraventa respecto de su mitad indivisa a favor de Diego Alejandro Catoia.</w:t>
      </w:r>
    </w:p>
    <w:p>
      <w:pPr>
        <w:pStyle w:val="[Normal]"/>
        <w:spacing w:line="360" w:lineRule="auto"/>
        <w:ind w:firstLine="1134"/>
        <w:jc w:val="both"/>
        <w:rPr>
          <w:lang w:val="es-AR" w:eastAsia="es-AR" w:bidi="es-AR"/>
        </w:rPr>
      </w:pPr>
      <w:r>
        <w:rPr>
          <w:lang w:val="es-AR" w:eastAsia="es-AR" w:bidi="es-AR"/>
        </w:rPr>
        <w:t xml:space="preserve">Elevados los autos, se dictó el llamamiento de autos para sentencia el 25/6/26, providencia que encontrándose firme deja la causa en condiciones de ser resuelta.</w:t>
      </w:r>
    </w:p>
    <w:p>
      <w:pPr>
        <w:pStyle w:val="[Normal]"/>
        <w:spacing w:line="360" w:lineRule="auto"/>
        <w:ind w:firstLine="1134"/>
        <w:jc w:val="both"/>
        <w:rPr>
          <w:lang w:val="es-AR" w:eastAsia="es-AR" w:bidi="es-AR"/>
        </w:rPr>
      </w:pPr>
      <w:r>
        <w:rPr>
          <w:lang w:val="es-AR" w:eastAsia="es-AR" w:bidi="es-AR"/>
        </w:rPr>
        <w:t xml:space="preserve">El recurso ha de prosperar parcialmente.</w:t>
      </w:r>
    </w:p>
    <w:p>
      <w:pPr>
        <w:pStyle w:val="[Normal]"/>
        <w:spacing w:line="360" w:lineRule="auto"/>
        <w:ind w:firstLine="1134"/>
        <w:jc w:val="both"/>
        <w:rPr>
          <w:lang w:val="es-AR" w:eastAsia="es-AR" w:bidi="es-AR"/>
        </w:rPr>
      </w:pPr>
      <w:r>
        <w:rPr>
          <w:lang w:val="es-AR" w:eastAsia="es-AR" w:bidi="es-AR"/>
        </w:rPr>
        <w:t xml:space="preserve">En primer término, corresponde examinar la legitimación invocada por el peticionario a la luz del art. 724 del Código Procesal Civil y Comercial, que exige a quien solicita la apertura del proceso sucesorio justificar prima facie su carácter de parte legítima.</w:t>
      </w:r>
    </w:p>
    <w:p>
      <w:pPr>
        <w:pStyle w:val="[Normal]"/>
        <w:spacing w:line="360" w:lineRule="auto"/>
        <w:ind w:firstLine="1134"/>
        <w:jc w:val="both"/>
        <w:rPr>
          <w:lang w:val="es-AR" w:eastAsia="es-AR" w:bidi="es-AR"/>
        </w:rPr>
      </w:pPr>
      <w:r>
        <w:rPr>
          <w:lang w:val="es-AR" w:eastAsia="es-AR" w:bidi="es-AR"/>
        </w:rPr>
        <w:t xml:space="preserve">En el caso, Calgaterra invocó su carácter de acreedor hipotecario y acompañó la escritura pública n.º 151, de fecha 13/12/2023 de la que surge la obligación que invoca, garantizada mediante hipoteca en primer grado por la suma de U$S 22.550.</w:t>
      </w:r>
    </w:p>
    <w:p>
      <w:pPr>
        <w:pStyle w:val="[Normal]"/>
        <w:spacing w:line="360" w:lineRule="auto"/>
        <w:ind w:firstLine="1134"/>
        <w:jc w:val="both"/>
        <w:rPr>
          <w:lang w:val="es-AR" w:eastAsia="es-AR" w:bidi="es-AR"/>
        </w:rPr>
      </w:pPr>
      <w:r>
        <w:rPr>
          <w:lang w:val="es-AR" w:eastAsia="es-AR" w:bidi="es-AR"/>
        </w:rPr>
        <w:t xml:space="preserve">De dicho instrumento surge que Guillermo Ezequiel Catoia era titular de la totalidad de los derechos y obligaciones derivados del boleto de compraventa del inmueble y que mediante el mismo instrumento, cedió a Diego Alejandro Catoia la mitad de aquellos derechos y obligaciones.</w:t>
      </w:r>
    </w:p>
    <w:p>
      <w:pPr>
        <w:pStyle w:val="[Normal]"/>
        <w:spacing w:line="360" w:lineRule="auto"/>
        <w:ind w:firstLine="1134"/>
        <w:jc w:val="both"/>
        <w:rPr>
          <w:lang w:val="es-AR" w:eastAsia="es-AR" w:bidi="es-AR"/>
        </w:rPr>
      </w:pPr>
      <w:r>
        <w:rPr>
          <w:lang w:val="es-AR" w:eastAsia="es-AR" w:bidi="es-AR"/>
        </w:rPr>
        <w:t xml:space="preserve">A continuación, se instrumentó la compraventa definitiva del inmueble a favor de Guillermo Ezequiel Catoia y Diego Alejandro Catoia, formalizándose de ese modo la adquisición del bien de conformidad con la situación derivada del boleto y de la cesión precedente. En el mismo acto quedó establecido un saldo de precio de U$S 22.550, garantizado mediante hipoteca.</w:t>
      </w:r>
    </w:p>
    <w:p>
      <w:pPr>
        <w:pStyle w:val="[Normal]"/>
        <w:spacing w:line="360" w:lineRule="auto"/>
        <w:ind w:firstLine="1134"/>
        <w:jc w:val="both"/>
        <w:rPr>
          <w:lang w:val="es-AR" w:eastAsia="es-AR" w:bidi="es-AR"/>
        </w:rPr>
      </w:pPr>
      <w:r>
        <w:rPr>
          <w:lang w:val="es-AR" w:eastAsia="es-AR" w:bidi="es-AR"/>
        </w:rPr>
        <w:t xml:space="preserve">En tales condiciones, la escritura pública acompañada resulta suficiente, en esta etapa y con el alcance propio de la cuestión a resolver, para justificar prima facie el carácter de parte legítima invocado por Calgaterra.</w:t>
      </w:r>
    </w:p>
    <w:p>
      <w:pPr>
        <w:pStyle w:val="[Normal]"/>
        <w:spacing w:line="360" w:lineRule="auto"/>
        <w:ind w:firstLine="1134"/>
        <w:jc w:val="both"/>
        <w:rPr>
          <w:lang w:val="es-AR" w:eastAsia="es-AR" w:bidi="es-AR"/>
        </w:rPr>
      </w:pPr>
      <w:r>
        <w:rPr>
          <w:lang w:val="es-AR" w:eastAsia="es-AR" w:bidi="es-AR"/>
        </w:rPr>
        <w:t xml:space="preserve">La carta documento de fecha 10/3/26, mediante la cual el peticionario intimó extrajudicialmente el pago, constituye asimismo un antecedente relativo al incumplimiento que atribuye a la obligación.</w:t>
      </w:r>
    </w:p>
    <w:p>
      <w:pPr>
        <w:pStyle w:val="[Normal]"/>
        <w:spacing w:line="360" w:lineRule="auto"/>
        <w:ind w:firstLine="1134"/>
        <w:jc w:val="both"/>
        <w:rPr>
          <w:lang w:val="es-AR" w:eastAsia="es-AR" w:bidi="es-AR"/>
        </w:rPr>
      </w:pPr>
      <w:r>
        <w:rPr>
          <w:lang w:val="es-AR" w:eastAsia="es-AR" w:bidi="es-AR"/>
        </w:rPr>
        <w:t xml:space="preserve">No resulta exigible en cambio, que la acreencia haya sido previamente reconocida mediante sentencia judicial, pues ninguna de las disposiciones aplicables establece dicho recaudo como condición para justificar prima facie la legitimación prevista por el art. 724 del CPCC.</w:t>
      </w:r>
    </w:p>
    <w:p>
      <w:pPr>
        <w:pStyle w:val="[Normal]"/>
        <w:spacing w:line="360" w:lineRule="auto"/>
        <w:ind w:firstLine="1134"/>
        <w:jc w:val="both"/>
        <w:rPr>
          <w:lang w:val="es-AR" w:eastAsia="es-AR" w:bidi="es-AR"/>
        </w:rPr>
      </w:pPr>
      <w:r>
        <w:rPr>
          <w:lang w:val="es-AR" w:eastAsia="es-AR" w:bidi="es-AR"/>
        </w:rPr>
        <w:t xml:space="preserve">Establecida esa cuestión, corresponde examinar las condiciones específicas que el art. 729 del Código Procesal Civil y Comercial establece para la intervención del acreedor en el proceso sucesorio.</w:t>
      </w:r>
    </w:p>
    <w:p>
      <w:pPr>
        <w:pStyle w:val="[Normal]"/>
        <w:spacing w:line="360" w:lineRule="auto"/>
        <w:ind w:firstLine="1134"/>
        <w:jc w:val="both"/>
        <w:rPr>
          <w:lang w:val="es-AR" w:eastAsia="es-AR" w:bidi="es-AR"/>
        </w:rPr>
      </w:pPr>
      <w:r>
        <w:rPr>
          <w:lang w:val="es-AR" w:eastAsia="es-AR" w:bidi="es-AR"/>
        </w:rPr>
        <w:t xml:space="preserve">Dicha norma dispone que los acreedores sólo podrán iniciar el proceso sucesorio después de transcurridos cuatro meses desde el fallecimiento del causante. Guillermo Ezequiel Catoia falleció el 27/1/26 y el presente proceso fue promovido en junio del mismo año, por lo que a esa fecha se encontraba cumplido el plazo legal.</w:t>
      </w:r>
    </w:p>
    <w:p>
      <w:pPr>
        <w:pStyle w:val="[Normal]"/>
        <w:spacing w:line="360" w:lineRule="auto"/>
        <w:ind w:firstLine="1134"/>
        <w:jc w:val="both"/>
        <w:rPr>
          <w:lang w:val="es-AR" w:eastAsia="es-AR" w:bidi="es-AR"/>
        </w:rPr>
      </w:pPr>
      <w:r>
        <w:rPr>
          <w:lang w:val="es-AR" w:eastAsia="es-AR" w:bidi="es-AR"/>
        </w:rPr>
        <w:t xml:space="preserve">Asimismo, a la fecha no se ha presentado ningún heredero ni se ha provisto a su representación legal, por lo que no se configura el supuesto de cese de la intervención del acreedor contemplado en el art. 729 del CPCC.</w:t>
      </w:r>
    </w:p>
    <w:p>
      <w:pPr>
        <w:pStyle w:val="[Normal]"/>
        <w:spacing w:line="360" w:lineRule="auto"/>
        <w:ind w:firstLine="1134"/>
        <w:jc w:val="both"/>
        <w:rPr>
          <w:lang w:val="es-AR" w:eastAsia="es-AR" w:bidi="es-AR"/>
        </w:rPr>
      </w:pPr>
      <w:r>
        <w:rPr>
          <w:lang w:val="es-AR" w:eastAsia="es-AR" w:bidi="es-AR"/>
        </w:rPr>
        <w:t xml:space="preserve">Finalmente corresponde considerar el recaudo previsto por el art. 2289 del Código Civil y Comercial.</w:t>
      </w:r>
    </w:p>
    <w:p>
      <w:pPr>
        <w:pStyle w:val="[Normal]"/>
        <w:spacing w:line="360" w:lineRule="auto"/>
        <w:ind w:firstLine="1134"/>
        <w:jc w:val="both"/>
        <w:rPr>
          <w:lang w:val="es-AR" w:eastAsia="es-AR" w:bidi="es-AR"/>
        </w:rPr>
      </w:pPr>
      <w:r>
        <w:rPr>
          <w:lang w:val="es-AR" w:eastAsia="es-AR" w:bidi="es-AR"/>
        </w:rPr>
        <w:t xml:space="preserve">La norma establece que cualquier interesado puede solicitar judicialmente que el heredero sea intimado a aceptar o renunciar la herencia dentro de un plazo no menor de un mes ni mayor de tres meses, renovable una sola vez por justa causa.</w:t>
      </w:r>
    </w:p>
    <w:p>
      <w:pPr>
        <w:pStyle w:val="[Normal]"/>
        <w:spacing w:line="360" w:lineRule="auto"/>
        <w:ind w:firstLine="1134"/>
        <w:jc w:val="both"/>
        <w:rPr>
          <w:lang w:val="es-AR" w:eastAsia="es-AR" w:bidi="es-AR"/>
        </w:rPr>
      </w:pPr>
      <w:r>
        <w:rPr>
          <w:lang w:val="es-AR" w:eastAsia="es-AR" w:bidi="es-AR"/>
        </w:rPr>
        <w:t xml:space="preserve">Este recaudo adquiere particular relevancia en el supuesto de autos, en tanto se trata de un proceso sucesorio promovido por un acreedor sin que hasta el momento haya comparecido heredero alguno.</w:t>
      </w:r>
    </w:p>
    <w:p>
      <w:pPr>
        <w:pStyle w:val="[Normal]"/>
        <w:spacing w:line="360" w:lineRule="auto"/>
        <w:ind w:firstLine="1134"/>
        <w:jc w:val="both"/>
        <w:rPr>
          <w:lang w:val="es-AR" w:eastAsia="es-AR" w:bidi="es-AR"/>
        </w:rPr>
      </w:pPr>
      <w:r>
        <w:rPr>
          <w:lang w:val="es-AR" w:eastAsia="es-AR" w:bidi="es-AR"/>
        </w:rPr>
        <w:t xml:space="preserve">En tal sentido, se ha resuelto que, en un proceso sucesorio iniciado por un acreedor, para considerar habilitada su aptitud para abrir el juicio sucesorio, además de acreditar prima facie su calidad de tal, debe haberse intimado a los herederos en forma judicial a efectos de que acepten o repudien la herencia, conforme el art. 2289 del Código Civil y Comercial. Recién cumplidos ambos recaudos, el acreedor se encuentra facultado para promover por sí mismo la sucesión (CC0201 LP 136464 72 I, 14/03/2024, “Rodríguez Haydee Angélica s/ Sucesión ab-intestato”, Sosa Aubone-López Muro, JUBA B259237).</w:t>
      </w:r>
    </w:p>
    <w:p>
      <w:pPr>
        <w:pStyle w:val="[Normal]"/>
        <w:spacing w:line="360" w:lineRule="auto"/>
        <w:ind w:firstLine="1134"/>
        <w:jc w:val="both"/>
        <w:rPr>
          <w:lang w:val="es-AR" w:eastAsia="es-AR" w:bidi="es-AR"/>
        </w:rPr>
      </w:pPr>
      <w:r>
        <w:rPr>
          <w:lang w:val="es-AR" w:eastAsia="es-AR" w:bidi="es-AR"/>
        </w:rPr>
        <w:t xml:space="preserve">En el caso, la carta documento acompañada por el recurrente no satisface dicho recaudo, pues fue dirigida al causante y no constituye la intimación judicial contemplada por el art. 2289 del Código Civil y Comercial.</w:t>
      </w:r>
    </w:p>
    <w:p>
      <w:pPr>
        <w:pStyle w:val="[Normal]"/>
        <w:spacing w:line="360" w:lineRule="auto"/>
        <w:ind w:firstLine="1134"/>
        <w:jc w:val="both"/>
        <w:rPr>
          <w:lang w:val="es-AR" w:eastAsia="es-AR" w:bidi="es-AR"/>
        </w:rPr>
      </w:pPr>
      <w:r>
        <w:rPr>
          <w:lang w:val="es-AR" w:eastAsia="es-AR" w:bidi="es-AR"/>
        </w:rPr>
        <w:t xml:space="preserve">Por ello deberá solicitarse al juez de grado la intimación de los herederos denunciados, en los términos del art. 2289 del Código Civil y Comercial.</w:t>
      </w:r>
    </w:p>
    <w:p>
      <w:pPr>
        <w:pStyle w:val="[Normal]"/>
        <w:spacing w:line="360" w:lineRule="auto"/>
        <w:ind w:firstLine="1134"/>
        <w:jc w:val="both"/>
        <w:rPr>
          <w:lang w:val="es-AR" w:eastAsia="es-AR" w:bidi="es-AR"/>
        </w:rPr>
      </w:pPr>
      <w:r>
        <w:rPr>
          <w:lang w:val="es-AR" w:eastAsia="es-AR" w:bidi="es-AR"/>
        </w:rPr>
        <w:t xml:space="preserve">Lo expuesto no altera la conclusión alcanzada respecto de la legitimación prima facie del peticionario ni implica exigir el previo reconocimiento judicial de la acreencia. Se trata de recaudos distintos: el art. 724 atiende a la justificación prima facie del carácter de parte legítima; el art. 729 regula específicamente la intervención del acreedor en el proceso sucesorio; y el art. 2289 establece el mecanismo judicial de intimación a los herederos para aceptar o renunciar la herencia.</w:t>
      </w:r>
    </w:p>
    <w:p>
      <w:pPr>
        <w:pStyle w:val="[Normal]"/>
        <w:spacing w:line="360" w:lineRule="auto"/>
        <w:ind w:firstLine="1134"/>
        <w:jc w:val="both"/>
        <w:rPr>
          <w:lang w:val="es-AR" w:eastAsia="es-AR" w:bidi="es-AR"/>
        </w:rPr>
      </w:pPr>
      <w:r>
        <w:rPr>
          <w:lang w:val="es-AR" w:eastAsia="es-AR" w:bidi="es-AR"/>
        </w:rPr>
        <w:t xml:space="preserve">En consecuencia, corresponde modificar la decisión apelada en el alcance señalado.</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NEGATIVA</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Hacer lugar parcialmente al recurso de apelación interpuesto y en su mérito modificar la providencia de fecha 8/6/26, dejándose sin efecto la exigencia de que el peticionario acredite el previo reconocimiento judicial de su acreencia como condición para promover el proceso sucesorio, y estableciendo que deberá solicitar al juez de grado la intimación de los herederos denunciados en los términos del art. 2289 del Código Civil y Comercial, conforme lo considerado.</w:t>
      </w:r>
    </w:p>
    <w:p>
      <w:pPr>
        <w:pStyle w:val="[Normal]"/>
        <w:spacing w:line="360" w:lineRule="auto"/>
        <w:ind w:firstLine="1134"/>
        <w:jc w:val="both"/>
        <w:rPr>
          <w:lang w:val="es-AR" w:eastAsia="es-AR" w:bidi="es-AR"/>
        </w:rPr>
      </w:pPr>
      <w:r>
        <w:rPr>
          <w:lang w:val="es-AR" w:eastAsia="es-AR" w:bidi="es-AR"/>
        </w:rPr>
        <w:t xml:space="preserve">Imponer las costas en el orden causado, por no mediar contienda (art. 68 CPCC).</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lang w:val="es-AR" w:eastAsia="es-AR" w:bidi="es-AR"/>
        </w:rPr>
        <w:t xml:space="preserve">S E N T E N C I A</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Hacer lugar parcialmente al recurso de apelación interpuesto, y en su mérito modificar la providencia de fecha 8/6/26, dejándose sin efecto la exigencia de que el peticionario acredite el previo reconocimiento judicial de su acreencia como condición para promover el proceso sucesorio, y estableciendo que deberá solicitar al juez de grado la intimación de los herederos denunciados en los términos del art. 2289 del Código Civil y Comercial, conforme lo considerado.</w:t>
      </w:r>
    </w:p>
    <w:p>
      <w:pPr>
        <w:pStyle w:val="[Normal]"/>
        <w:spacing w:line="360" w:lineRule="auto"/>
        <w:ind w:firstLine="1134"/>
        <w:jc w:val="both"/>
        <w:rPr>
          <w:lang w:val="es-AR" w:eastAsia="es-AR" w:bidi="es-AR"/>
        </w:rPr>
      </w:pPr>
      <w:r>
        <w:rPr>
          <w:lang w:val="es-AR" w:eastAsia="es-AR" w:bidi="es-AR"/>
        </w:rPr>
        <w:t xml:space="preserve">Imponer las costas en el orden causado, por no mediar contienda (art. 68 CPCC).</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11:20:51 -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11:22:11 -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13:13:24 - BIANCO Luis Maria - AUXILIAR LETRADO DE CÁMARA DE APELACIÓN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‰6E")è'è?9EŠ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223702090007003125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17/09/2026 13:13:34 hs. bajo el número RS-153-2026 por PE\LBIANCO LUIS MARIA.</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